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drawings/drawing1.xml" ContentType="application/vnd.openxmlformats-officedocument.drawingml.chartshapes+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drawings/drawing2.xml" ContentType="application/vnd.openxmlformats-officedocument.drawingml.chartshapes+xml"/>
  <Override PartName="/word/charts/chart24.xml" ContentType="application/vnd.openxmlformats-officedocument.drawingml.chart+xml"/>
  <Override PartName="/word/drawings/drawing3.xml" ContentType="application/vnd.openxmlformats-officedocument.drawingml.chartshapes+xml"/>
  <Override PartName="/word/charts/chart25.xml" ContentType="application/vnd.openxmlformats-officedocument.drawingml.chart+xml"/>
  <Override PartName="/word/theme/themeOverride1.xml" ContentType="application/vnd.openxmlformats-officedocument.themeOverride+xml"/>
  <Override PartName="/word/charts/chart26.xml" ContentType="application/vnd.openxmlformats-officedocument.drawingml.chart+xml"/>
  <Override PartName="/word/theme/themeOverride2.xml" ContentType="application/vnd.openxmlformats-officedocument.themeOverride+xml"/>
  <Override PartName="/word/charts/chart2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1DC" w:rsidRDefault="002561DC" w:rsidP="002561DC">
      <w:pPr>
        <w:spacing w:after="0" w:line="240" w:lineRule="auto"/>
        <w:jc w:val="right"/>
        <w:rPr>
          <w:rFonts w:ascii="Georgia" w:hAnsi="Georgia"/>
          <w:sz w:val="24"/>
          <w:szCs w:val="80"/>
        </w:rPr>
      </w:pPr>
    </w:p>
    <w:p w:rsidR="002561DC" w:rsidRDefault="008F3EE4" w:rsidP="002561DC">
      <w:pPr>
        <w:spacing w:after="0" w:line="240" w:lineRule="auto"/>
        <w:jc w:val="right"/>
        <w:rPr>
          <w:rFonts w:ascii="Georgia" w:hAnsi="Georgia"/>
          <w:sz w:val="24"/>
          <w:szCs w:val="80"/>
        </w:rPr>
      </w:pPr>
      <w:r w:rsidRPr="008F3EE4">
        <w:rPr>
          <w:rFonts w:ascii="Georgia" w:hAnsi="Georgia"/>
          <w:sz w:val="24"/>
          <w:szCs w:val="80"/>
        </w:rPr>
        <w:t xml:space="preserve">Утвержден годовым </w:t>
      </w:r>
    </w:p>
    <w:p w:rsidR="002561DC" w:rsidRDefault="00ED1897" w:rsidP="002561DC">
      <w:pPr>
        <w:spacing w:after="0" w:line="240" w:lineRule="auto"/>
        <w:jc w:val="right"/>
        <w:rPr>
          <w:rFonts w:ascii="Georgia" w:hAnsi="Georgia"/>
          <w:sz w:val="24"/>
          <w:szCs w:val="80"/>
        </w:rPr>
      </w:pPr>
      <w:r>
        <w:rPr>
          <w:rFonts w:ascii="Georgia" w:hAnsi="Georgia"/>
          <w:sz w:val="24"/>
          <w:szCs w:val="80"/>
        </w:rPr>
        <w:t>О</w:t>
      </w:r>
      <w:r w:rsidR="008F3EE4" w:rsidRPr="008F3EE4">
        <w:rPr>
          <w:rFonts w:ascii="Georgia" w:hAnsi="Georgia"/>
          <w:sz w:val="24"/>
          <w:szCs w:val="80"/>
        </w:rPr>
        <w:t>бщим собранием акционеров</w:t>
      </w:r>
    </w:p>
    <w:p w:rsidR="002561DC" w:rsidRDefault="008F3EE4" w:rsidP="002561DC">
      <w:pPr>
        <w:spacing w:after="0" w:line="240" w:lineRule="auto"/>
        <w:jc w:val="right"/>
        <w:rPr>
          <w:rFonts w:ascii="Georgia" w:hAnsi="Georgia"/>
          <w:sz w:val="24"/>
          <w:szCs w:val="80"/>
        </w:rPr>
      </w:pPr>
      <w:r w:rsidRPr="008F3EE4">
        <w:rPr>
          <w:rFonts w:ascii="Georgia" w:hAnsi="Georgia"/>
          <w:sz w:val="24"/>
          <w:szCs w:val="80"/>
        </w:rPr>
        <w:t xml:space="preserve"> ПАО «ИнтехБанк» </w:t>
      </w:r>
    </w:p>
    <w:p w:rsidR="00156092" w:rsidRPr="008F3EE4" w:rsidRDefault="00B879D1" w:rsidP="002561DC">
      <w:pPr>
        <w:spacing w:after="0" w:line="240" w:lineRule="auto"/>
        <w:jc w:val="right"/>
        <w:rPr>
          <w:rFonts w:ascii="Georgia" w:hAnsi="Georgia"/>
          <w:sz w:val="24"/>
          <w:szCs w:val="80"/>
        </w:rPr>
      </w:pPr>
      <w:r w:rsidRPr="00AA156D">
        <w:rPr>
          <w:rFonts w:ascii="Georgia" w:hAnsi="Georgia"/>
          <w:sz w:val="24"/>
          <w:szCs w:val="80"/>
        </w:rPr>
        <w:t>10 июня 2016</w:t>
      </w:r>
      <w:r w:rsidR="008F3EE4" w:rsidRPr="00AA156D">
        <w:rPr>
          <w:rFonts w:ascii="Georgia" w:hAnsi="Georgia"/>
          <w:sz w:val="24"/>
          <w:szCs w:val="80"/>
        </w:rPr>
        <w:t xml:space="preserve"> года</w:t>
      </w:r>
    </w:p>
    <w:p w:rsidR="00156092" w:rsidRDefault="00156092">
      <w:pPr>
        <w:rPr>
          <w:rFonts w:ascii="Georgia" w:hAnsi="Georgia"/>
          <w:b/>
          <w:sz w:val="80"/>
          <w:szCs w:val="80"/>
        </w:rPr>
      </w:pPr>
      <w:bookmarkStart w:id="0" w:name="_GoBack"/>
      <w:bookmarkEnd w:id="0"/>
    </w:p>
    <w:p w:rsidR="00156092" w:rsidRDefault="00156092">
      <w:pPr>
        <w:rPr>
          <w:rFonts w:ascii="Georgia" w:hAnsi="Georgia"/>
          <w:b/>
          <w:sz w:val="80"/>
          <w:szCs w:val="80"/>
        </w:rPr>
      </w:pPr>
    </w:p>
    <w:p w:rsidR="008E336E" w:rsidRDefault="008E336E" w:rsidP="00467935">
      <w:pPr>
        <w:jc w:val="center"/>
        <w:rPr>
          <w:rFonts w:ascii="Georgia" w:hAnsi="Georgia"/>
          <w:b/>
          <w:sz w:val="96"/>
          <w:szCs w:val="80"/>
        </w:rPr>
      </w:pPr>
    </w:p>
    <w:p w:rsidR="00156092" w:rsidRPr="00DF7BA2" w:rsidRDefault="00156092" w:rsidP="00467935">
      <w:pPr>
        <w:jc w:val="center"/>
        <w:rPr>
          <w:rFonts w:ascii="Georgia" w:hAnsi="Georgia"/>
          <w:b/>
          <w:sz w:val="96"/>
          <w:szCs w:val="80"/>
        </w:rPr>
      </w:pPr>
      <w:r w:rsidRPr="00DF7BA2">
        <w:rPr>
          <w:rFonts w:ascii="Georgia" w:hAnsi="Georgia"/>
          <w:b/>
          <w:sz w:val="96"/>
          <w:szCs w:val="80"/>
        </w:rPr>
        <w:t>Годовой отчет</w:t>
      </w:r>
    </w:p>
    <w:p w:rsidR="00D455D6" w:rsidRPr="00156092" w:rsidRDefault="00A6533B" w:rsidP="00467935">
      <w:pPr>
        <w:jc w:val="center"/>
        <w:rPr>
          <w:rFonts w:ascii="Georgia" w:hAnsi="Georgia"/>
          <w:b/>
          <w:sz w:val="80"/>
          <w:szCs w:val="80"/>
        </w:rPr>
      </w:pPr>
      <w:r>
        <w:rPr>
          <w:rFonts w:ascii="Georgia" w:hAnsi="Georgia"/>
          <w:b/>
          <w:sz w:val="80"/>
          <w:szCs w:val="80"/>
        </w:rPr>
        <w:t>П</w:t>
      </w:r>
      <w:r w:rsidR="00156092" w:rsidRPr="00156092">
        <w:rPr>
          <w:rFonts w:ascii="Georgia" w:hAnsi="Georgia"/>
          <w:b/>
          <w:sz w:val="80"/>
          <w:szCs w:val="80"/>
        </w:rPr>
        <w:t>АО «ИнтехБанк»</w:t>
      </w:r>
    </w:p>
    <w:p w:rsidR="009A3CA1" w:rsidRDefault="00156092" w:rsidP="00467935">
      <w:pPr>
        <w:jc w:val="center"/>
        <w:rPr>
          <w:rFonts w:ascii="Georgia" w:hAnsi="Georgia"/>
          <w:b/>
          <w:sz w:val="64"/>
          <w:szCs w:val="64"/>
        </w:rPr>
      </w:pPr>
      <w:r w:rsidRPr="00156092">
        <w:rPr>
          <w:rFonts w:ascii="Georgia" w:hAnsi="Georgia"/>
          <w:b/>
          <w:sz w:val="64"/>
          <w:szCs w:val="64"/>
        </w:rPr>
        <w:t>за 201</w:t>
      </w:r>
      <w:r w:rsidR="00A6533B">
        <w:rPr>
          <w:rFonts w:ascii="Georgia" w:hAnsi="Georgia"/>
          <w:b/>
          <w:sz w:val="64"/>
          <w:szCs w:val="64"/>
        </w:rPr>
        <w:t>5</w:t>
      </w:r>
      <w:r w:rsidRPr="00156092">
        <w:rPr>
          <w:rFonts w:ascii="Georgia" w:hAnsi="Georgia"/>
          <w:b/>
          <w:sz w:val="64"/>
          <w:szCs w:val="64"/>
        </w:rPr>
        <w:t xml:space="preserve"> год</w:t>
      </w:r>
    </w:p>
    <w:p w:rsidR="00833AB2" w:rsidRDefault="00833AB2" w:rsidP="008E336E">
      <w:pPr>
        <w:rPr>
          <w:rFonts w:ascii="Georgia" w:hAnsi="Georgia"/>
          <w:b/>
          <w:sz w:val="64"/>
          <w:szCs w:val="64"/>
        </w:rPr>
      </w:pPr>
    </w:p>
    <w:p w:rsidR="004D4A93" w:rsidRDefault="00833AB2" w:rsidP="00833AB2">
      <w:pPr>
        <w:ind w:left="2124" w:firstLine="708"/>
        <w:rPr>
          <w:rFonts w:ascii="Georgia" w:hAnsi="Georgia"/>
          <w:b/>
          <w:sz w:val="64"/>
          <w:szCs w:val="64"/>
        </w:rPr>
      </w:pPr>
      <w:r>
        <w:rPr>
          <w:rFonts w:ascii="Georgia" w:hAnsi="Georgia"/>
          <w:b/>
          <w:noProof/>
          <w:sz w:val="64"/>
          <w:szCs w:val="64"/>
        </w:rPr>
        <w:drawing>
          <wp:anchor distT="0" distB="0" distL="114300" distR="114300" simplePos="0" relativeHeight="251658240" behindDoc="0" locked="0" layoutInCell="1" allowOverlap="1" wp14:anchorId="61F67EAA" wp14:editId="486624E9">
            <wp:simplePos x="0" y="0"/>
            <wp:positionH relativeFrom="column">
              <wp:posOffset>1354455</wp:posOffset>
            </wp:positionH>
            <wp:positionV relativeFrom="paragraph">
              <wp:posOffset>2540635</wp:posOffset>
            </wp:positionV>
            <wp:extent cx="2625725" cy="63754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srcRect l="1573" t="5580" r="1437" b="40207"/>
                    <a:stretch/>
                  </pic:blipFill>
                  <pic:spPr bwMode="auto">
                    <a:xfrm>
                      <a:off x="0" y="0"/>
                      <a:ext cx="2625725" cy="6375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156D">
        <w:rPr>
          <w:rFonts w:ascii="Georgia" w:hAnsi="Georgia"/>
          <w:b/>
          <w:noProof/>
          <w:sz w:val="64"/>
          <w:szCs w:val="64"/>
        </w:rPr>
        <w:pict>
          <v:rect id="Rectangle 37" o:spid="_x0000_s1026" style="position:absolute;left:0;text-align:left;margin-left:-38.4pt;margin-top:93.25pt;width:523.25pt;height:58.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" stroked="f"/>
        </w:pict>
      </w:r>
      <w:r>
        <w:rPr>
          <w:rFonts w:ascii="Georgia" w:hAnsi="Georgia"/>
          <w:b/>
          <w:sz w:val="64"/>
          <w:szCs w:val="64"/>
        </w:rPr>
        <w:t>ПРОЕКТ</w:t>
      </w:r>
    </w:p>
    <w:p w:rsidR="00833AB2" w:rsidRDefault="00833AB2" w:rsidP="008E336E">
      <w:pPr>
        <w:rPr>
          <w:rFonts w:ascii="Georgia" w:hAnsi="Georgia"/>
          <w:b/>
          <w:sz w:val="64"/>
          <w:szCs w:val="64"/>
        </w:rPr>
      </w:pPr>
    </w:p>
    <w:p w:rsidR="00833AB2" w:rsidRDefault="00833AB2" w:rsidP="008E336E">
      <w:pPr>
        <w:rPr>
          <w:rFonts w:ascii="Georgia" w:hAnsi="Georgia"/>
          <w:b/>
          <w:sz w:val="64"/>
          <w:szCs w:val="64"/>
        </w:rPr>
      </w:pPr>
    </w:p>
    <w:p w:rsidR="004D4A93" w:rsidRPr="009C38E0" w:rsidRDefault="004D4A93" w:rsidP="004D4A93">
      <w:pPr>
        <w:spacing w:after="0" w:line="240" w:lineRule="auto"/>
        <w:rPr>
          <w:rFonts w:ascii="Georgia" w:hAnsi="Georgia"/>
          <w:b/>
          <w:sz w:val="20"/>
          <w:szCs w:val="20"/>
        </w:rPr>
      </w:pPr>
    </w:p>
    <w:p w:rsidR="00156092" w:rsidRPr="00F05687" w:rsidRDefault="00AA156D" w:rsidP="008E336E">
      <w:pPr>
        <w:rPr>
          <w:rFonts w:asciiTheme="majorHAnsi" w:eastAsiaTheme="majorEastAsia" w:hAnsiTheme="majorHAnsi" w:cstheme="majorBidi"/>
          <w:b/>
          <w:bCs/>
          <w:color w:val="00B050"/>
          <w:sz w:val="40"/>
          <w:szCs w:val="28"/>
        </w:rPr>
      </w:pPr>
      <w:r>
        <w:rPr>
          <w:rFonts w:asciiTheme="majorHAnsi" w:eastAsiaTheme="majorEastAsia" w:hAnsiTheme="majorHAnsi" w:cstheme="majorBidi"/>
          <w:b/>
          <w:bCs/>
          <w:noProof/>
          <w:color w:val="00B050"/>
          <w:sz w:val="40"/>
          <w:szCs w:val="28"/>
        </w:rPr>
        <w:lastRenderedPageBreak/>
        <w:pict>
          <v:shapetype id="_x0000_t32" coordsize="21600,21600" o:spt="32" o:oned="t" path="m,l21600,21600e" filled="f">
            <v:path arrowok="t" fillok="f" o:connecttype="none"/>
            <o:lock v:ext="edit" shapetype="t"/>
          </v:shapetype>
          <v:shape id="AutoShape 2" o:spid="_x0000_s1043" type="#_x0000_t32" style="position:absolute;margin-left:-.7pt;margin-top:34.85pt;width:425.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" strokecolor="#00b050" strokeweight="4.5pt"/>
        </w:pict>
      </w:r>
      <w:r w:rsidR="009A3CA1" w:rsidRPr="00F05687">
        <w:rPr>
          <w:rFonts w:asciiTheme="majorHAnsi" w:eastAsiaTheme="majorEastAsia" w:hAnsiTheme="majorHAnsi" w:cstheme="majorBidi"/>
          <w:b/>
          <w:bCs/>
          <w:color w:val="00B050"/>
          <w:sz w:val="40"/>
          <w:szCs w:val="28"/>
        </w:rPr>
        <w:t>Содержание</w:t>
      </w:r>
    </w:p>
    <w:p w:rsidR="00672B9C" w:rsidRPr="009C38E0" w:rsidRDefault="00672B9C" w:rsidP="003A3768">
      <w:pPr>
        <w:spacing w:after="120" w:line="240" w:lineRule="auto"/>
        <w:rPr>
          <w:rFonts w:ascii="Georgia" w:hAnsi="Georgia"/>
          <w:b/>
          <w:color w:val="00B050"/>
          <w:sz w:val="24"/>
          <w:szCs w:val="24"/>
        </w:rPr>
      </w:pPr>
    </w:p>
    <w:sdt>
      <w:sdtPr>
        <w:rPr>
          <w:rFonts w:eastAsiaTheme="minorHAnsi"/>
          <w:b/>
          <w:bCs/>
        </w:rPr>
        <w:id w:val="26417486"/>
        <w:docPartObj>
          <w:docPartGallery w:val="Table of Contents"/>
          <w:docPartUnique/>
        </w:docPartObj>
      </w:sdtPr>
      <w:sdtEndPr>
        <w:rPr>
          <w:rFonts w:ascii="Georgia" w:eastAsiaTheme="minorEastAsia" w:hAnsi="Georgia"/>
          <w:b w:val="0"/>
          <w:bCs w:val="0"/>
          <w:sz w:val="21"/>
          <w:szCs w:val="21"/>
        </w:rPr>
      </w:sdtEndPr>
      <w:sdtContent>
        <w:p w:rsidR="00A254D9" w:rsidRDefault="00FD1683" w:rsidP="00A254D9">
          <w:pPr>
            <w:pStyle w:val="11"/>
            <w:spacing w:line="240" w:lineRule="auto"/>
            <w:rPr>
              <w:noProof/>
            </w:rPr>
          </w:pPr>
          <w:r w:rsidRPr="00663BD9">
            <w:rPr>
              <w:rFonts w:ascii="Georgia" w:hAnsi="Georgia"/>
              <w:sz w:val="20"/>
              <w:szCs w:val="20"/>
            </w:rPr>
            <w:fldChar w:fldCharType="begin"/>
          </w:r>
          <w:r w:rsidR="0008011A" w:rsidRPr="00663BD9">
            <w:rPr>
              <w:rFonts w:ascii="Georgia" w:hAnsi="Georgia"/>
              <w:sz w:val="20"/>
              <w:szCs w:val="20"/>
            </w:rPr>
            <w:instrText xml:space="preserve"> TOC \o "1-3" \h \z \u </w:instrText>
          </w:r>
          <w:r w:rsidRPr="00663BD9">
            <w:rPr>
              <w:rFonts w:ascii="Georgia" w:hAnsi="Georgia"/>
              <w:sz w:val="20"/>
              <w:szCs w:val="20"/>
            </w:rPr>
            <w:fldChar w:fldCharType="separate"/>
          </w:r>
          <w:hyperlink w:anchor="_Toc448145456" w:history="1">
            <w:r w:rsidR="00A254D9" w:rsidRPr="00233B28">
              <w:rPr>
                <w:rStyle w:val="a6"/>
                <w:noProof/>
              </w:rPr>
              <w:t>Обращение Председателя Правления Банка и Председателя Совета директоров Банка</w:t>
            </w:r>
            <w:r w:rsidR="00A254D9">
              <w:rPr>
                <w:noProof/>
                <w:webHidden/>
              </w:rPr>
              <w:tab/>
            </w:r>
            <w:r w:rsidR="00A254D9">
              <w:rPr>
                <w:noProof/>
                <w:webHidden/>
              </w:rPr>
              <w:fldChar w:fldCharType="begin"/>
            </w:r>
            <w:r w:rsidR="00A254D9">
              <w:rPr>
                <w:noProof/>
                <w:webHidden/>
              </w:rPr>
              <w:instrText xml:space="preserve"> PAGEREF _Toc448145456 \h </w:instrText>
            </w:r>
            <w:r w:rsidR="00A254D9">
              <w:rPr>
                <w:noProof/>
                <w:webHidden/>
              </w:rPr>
            </w:r>
            <w:r w:rsidR="00A254D9">
              <w:rPr>
                <w:noProof/>
                <w:webHidden/>
              </w:rPr>
              <w:fldChar w:fldCharType="separate"/>
            </w:r>
            <w:r w:rsidR="005B174C">
              <w:rPr>
                <w:noProof/>
                <w:webHidden/>
              </w:rPr>
              <w:t>3</w:t>
            </w:r>
            <w:r w:rsidR="00A254D9">
              <w:rPr>
                <w:noProof/>
                <w:webHidden/>
              </w:rPr>
              <w:fldChar w:fldCharType="end"/>
            </w:r>
          </w:hyperlink>
        </w:p>
        <w:p w:rsidR="00A254D9" w:rsidRDefault="00AA156D" w:rsidP="00A254D9">
          <w:pPr>
            <w:pStyle w:val="11"/>
            <w:spacing w:line="240" w:lineRule="auto"/>
            <w:rPr>
              <w:noProof/>
            </w:rPr>
          </w:pPr>
          <w:hyperlink w:anchor="_Toc448145457" w:history="1">
            <w:r w:rsidR="00A254D9" w:rsidRPr="00233B28">
              <w:rPr>
                <w:rStyle w:val="a6"/>
                <w:noProof/>
              </w:rPr>
              <w:t>Ключевые показатели деятельности Банка в 2015 году</w:t>
            </w:r>
            <w:r w:rsidR="00A254D9">
              <w:rPr>
                <w:noProof/>
                <w:webHidden/>
              </w:rPr>
              <w:tab/>
            </w:r>
            <w:r w:rsidR="00A254D9">
              <w:rPr>
                <w:noProof/>
                <w:webHidden/>
              </w:rPr>
              <w:fldChar w:fldCharType="begin"/>
            </w:r>
            <w:r w:rsidR="00A254D9">
              <w:rPr>
                <w:noProof/>
                <w:webHidden/>
              </w:rPr>
              <w:instrText xml:space="preserve"> PAGEREF _Toc448145457 \h </w:instrText>
            </w:r>
            <w:r w:rsidR="00A254D9">
              <w:rPr>
                <w:noProof/>
                <w:webHidden/>
              </w:rPr>
            </w:r>
            <w:r w:rsidR="00A254D9">
              <w:rPr>
                <w:noProof/>
                <w:webHidden/>
              </w:rPr>
              <w:fldChar w:fldCharType="separate"/>
            </w:r>
            <w:r w:rsidR="005B174C">
              <w:rPr>
                <w:noProof/>
                <w:webHidden/>
              </w:rPr>
              <w:t>5</w:t>
            </w:r>
            <w:r w:rsidR="00A254D9">
              <w:rPr>
                <w:noProof/>
                <w:webHidden/>
              </w:rPr>
              <w:fldChar w:fldCharType="end"/>
            </w:r>
          </w:hyperlink>
        </w:p>
        <w:p w:rsidR="00A254D9" w:rsidRDefault="00AA156D" w:rsidP="00A254D9">
          <w:pPr>
            <w:pStyle w:val="11"/>
            <w:spacing w:line="240" w:lineRule="auto"/>
            <w:rPr>
              <w:noProof/>
            </w:rPr>
          </w:pPr>
          <w:hyperlink w:anchor="_Toc448145458" w:history="1">
            <w:r w:rsidR="00A254D9" w:rsidRPr="00233B28">
              <w:rPr>
                <w:rStyle w:val="a6"/>
                <w:noProof/>
              </w:rPr>
              <w:t>Показатели эффективности развития Банка в 2013-2015 гг.</w:t>
            </w:r>
            <w:r w:rsidR="00A254D9">
              <w:rPr>
                <w:noProof/>
                <w:webHidden/>
              </w:rPr>
              <w:tab/>
            </w:r>
            <w:r w:rsidR="00A254D9">
              <w:rPr>
                <w:noProof/>
                <w:webHidden/>
              </w:rPr>
              <w:fldChar w:fldCharType="begin"/>
            </w:r>
            <w:r w:rsidR="00A254D9">
              <w:rPr>
                <w:noProof/>
                <w:webHidden/>
              </w:rPr>
              <w:instrText xml:space="preserve"> PAGEREF _Toc448145458 \h </w:instrText>
            </w:r>
            <w:r w:rsidR="00A254D9">
              <w:rPr>
                <w:noProof/>
                <w:webHidden/>
              </w:rPr>
            </w:r>
            <w:r w:rsidR="00A254D9">
              <w:rPr>
                <w:noProof/>
                <w:webHidden/>
              </w:rPr>
              <w:fldChar w:fldCharType="separate"/>
            </w:r>
            <w:r w:rsidR="005B174C">
              <w:rPr>
                <w:noProof/>
                <w:webHidden/>
              </w:rPr>
              <w:t>6</w:t>
            </w:r>
            <w:r w:rsidR="00A254D9">
              <w:rPr>
                <w:noProof/>
                <w:webHidden/>
              </w:rPr>
              <w:fldChar w:fldCharType="end"/>
            </w:r>
          </w:hyperlink>
        </w:p>
        <w:p w:rsidR="00A254D9" w:rsidRDefault="00AA156D" w:rsidP="00A254D9">
          <w:pPr>
            <w:pStyle w:val="11"/>
            <w:spacing w:line="240" w:lineRule="auto"/>
            <w:rPr>
              <w:noProof/>
            </w:rPr>
          </w:pPr>
          <w:hyperlink w:anchor="_Toc448145464" w:history="1">
            <w:r w:rsidR="00A254D9" w:rsidRPr="00233B28">
              <w:rPr>
                <w:rStyle w:val="a6"/>
                <w:noProof/>
              </w:rPr>
              <w:t>Место Банка на рынке финансовых услуг</w:t>
            </w:r>
            <w:r w:rsidR="00A254D9">
              <w:rPr>
                <w:noProof/>
                <w:webHidden/>
              </w:rPr>
              <w:tab/>
            </w:r>
            <w:r w:rsidR="00A254D9">
              <w:rPr>
                <w:noProof/>
                <w:webHidden/>
              </w:rPr>
              <w:fldChar w:fldCharType="begin"/>
            </w:r>
            <w:r w:rsidR="00A254D9">
              <w:rPr>
                <w:noProof/>
                <w:webHidden/>
              </w:rPr>
              <w:instrText xml:space="preserve"> PAGEREF _Toc448145464 \h </w:instrText>
            </w:r>
            <w:r w:rsidR="00A254D9">
              <w:rPr>
                <w:noProof/>
                <w:webHidden/>
              </w:rPr>
            </w:r>
            <w:r w:rsidR="00A254D9">
              <w:rPr>
                <w:noProof/>
                <w:webHidden/>
              </w:rPr>
              <w:fldChar w:fldCharType="separate"/>
            </w:r>
            <w:r w:rsidR="005B174C">
              <w:rPr>
                <w:noProof/>
                <w:webHidden/>
              </w:rPr>
              <w:t>7</w:t>
            </w:r>
            <w:r w:rsidR="00A254D9">
              <w:rPr>
                <w:noProof/>
                <w:webHidden/>
              </w:rPr>
              <w:fldChar w:fldCharType="end"/>
            </w:r>
          </w:hyperlink>
        </w:p>
        <w:p w:rsidR="00A254D9" w:rsidRDefault="00AA156D" w:rsidP="00A254D9">
          <w:pPr>
            <w:pStyle w:val="11"/>
            <w:spacing w:line="240" w:lineRule="auto"/>
            <w:rPr>
              <w:noProof/>
            </w:rPr>
          </w:pPr>
          <w:hyperlink w:anchor="_Toc448145465" w:history="1">
            <w:r w:rsidR="00A254D9" w:rsidRPr="00233B28">
              <w:rPr>
                <w:rStyle w:val="a6"/>
                <w:noProof/>
              </w:rPr>
              <w:t>Рейтинги Банка</w:t>
            </w:r>
            <w:r w:rsidR="00A254D9">
              <w:rPr>
                <w:noProof/>
                <w:webHidden/>
              </w:rPr>
              <w:tab/>
            </w:r>
            <w:r w:rsidR="00A254D9">
              <w:rPr>
                <w:noProof/>
                <w:webHidden/>
              </w:rPr>
              <w:fldChar w:fldCharType="begin"/>
            </w:r>
            <w:r w:rsidR="00A254D9">
              <w:rPr>
                <w:noProof/>
                <w:webHidden/>
              </w:rPr>
              <w:instrText xml:space="preserve"> PAGEREF _Toc448145465 \h </w:instrText>
            </w:r>
            <w:r w:rsidR="00A254D9">
              <w:rPr>
                <w:noProof/>
                <w:webHidden/>
              </w:rPr>
            </w:r>
            <w:r w:rsidR="00A254D9">
              <w:rPr>
                <w:noProof/>
                <w:webHidden/>
              </w:rPr>
              <w:fldChar w:fldCharType="separate"/>
            </w:r>
            <w:r w:rsidR="005B174C">
              <w:rPr>
                <w:noProof/>
                <w:webHidden/>
              </w:rPr>
              <w:t>7</w:t>
            </w:r>
            <w:r w:rsidR="00A254D9">
              <w:rPr>
                <w:noProof/>
                <w:webHidden/>
              </w:rPr>
              <w:fldChar w:fldCharType="end"/>
            </w:r>
          </w:hyperlink>
        </w:p>
        <w:p w:rsidR="00A254D9" w:rsidRDefault="00AA156D" w:rsidP="00A254D9">
          <w:pPr>
            <w:pStyle w:val="11"/>
            <w:spacing w:line="240" w:lineRule="auto"/>
            <w:rPr>
              <w:noProof/>
            </w:rPr>
          </w:pPr>
          <w:hyperlink w:anchor="_Toc448145466" w:history="1">
            <w:r w:rsidR="00A254D9" w:rsidRPr="00233B28">
              <w:rPr>
                <w:rStyle w:val="a6"/>
                <w:noProof/>
              </w:rPr>
              <w:t>Макроэкономическая ситуация в 2015 году</w:t>
            </w:r>
            <w:r w:rsidR="00A254D9">
              <w:rPr>
                <w:noProof/>
                <w:webHidden/>
              </w:rPr>
              <w:tab/>
            </w:r>
            <w:r w:rsidR="00A254D9">
              <w:rPr>
                <w:noProof/>
                <w:webHidden/>
              </w:rPr>
              <w:fldChar w:fldCharType="begin"/>
            </w:r>
            <w:r w:rsidR="00A254D9">
              <w:rPr>
                <w:noProof/>
                <w:webHidden/>
              </w:rPr>
              <w:instrText xml:space="preserve"> PAGEREF _Toc448145466 \h </w:instrText>
            </w:r>
            <w:r w:rsidR="00A254D9">
              <w:rPr>
                <w:noProof/>
                <w:webHidden/>
              </w:rPr>
            </w:r>
            <w:r w:rsidR="00A254D9">
              <w:rPr>
                <w:noProof/>
                <w:webHidden/>
              </w:rPr>
              <w:fldChar w:fldCharType="separate"/>
            </w:r>
            <w:r w:rsidR="005B174C">
              <w:rPr>
                <w:noProof/>
                <w:webHidden/>
              </w:rPr>
              <w:t>8</w:t>
            </w:r>
            <w:r w:rsidR="00A254D9">
              <w:rPr>
                <w:noProof/>
                <w:webHidden/>
              </w:rPr>
              <w:fldChar w:fldCharType="end"/>
            </w:r>
          </w:hyperlink>
        </w:p>
        <w:p w:rsidR="00A254D9" w:rsidRDefault="00AA156D" w:rsidP="00A254D9">
          <w:pPr>
            <w:pStyle w:val="11"/>
            <w:spacing w:line="240" w:lineRule="auto"/>
            <w:rPr>
              <w:noProof/>
            </w:rPr>
          </w:pPr>
          <w:hyperlink w:anchor="_Toc448145467" w:history="1">
            <w:r w:rsidR="00A254D9" w:rsidRPr="00233B28">
              <w:rPr>
                <w:rStyle w:val="a6"/>
                <w:noProof/>
              </w:rPr>
              <w:t>Ключевые показатели банковского сектора в 2015 году</w:t>
            </w:r>
            <w:r w:rsidR="00A254D9">
              <w:rPr>
                <w:noProof/>
                <w:webHidden/>
              </w:rPr>
              <w:tab/>
            </w:r>
            <w:r w:rsidR="00A254D9">
              <w:rPr>
                <w:noProof/>
                <w:webHidden/>
              </w:rPr>
              <w:fldChar w:fldCharType="begin"/>
            </w:r>
            <w:r w:rsidR="00A254D9">
              <w:rPr>
                <w:noProof/>
                <w:webHidden/>
              </w:rPr>
              <w:instrText xml:space="preserve"> PAGEREF _Toc448145467 \h </w:instrText>
            </w:r>
            <w:r w:rsidR="00A254D9">
              <w:rPr>
                <w:noProof/>
                <w:webHidden/>
              </w:rPr>
            </w:r>
            <w:r w:rsidR="00A254D9">
              <w:rPr>
                <w:noProof/>
                <w:webHidden/>
              </w:rPr>
              <w:fldChar w:fldCharType="separate"/>
            </w:r>
            <w:r w:rsidR="005B174C">
              <w:rPr>
                <w:noProof/>
                <w:webHidden/>
              </w:rPr>
              <w:t>11</w:t>
            </w:r>
            <w:r w:rsidR="00A254D9">
              <w:rPr>
                <w:noProof/>
                <w:webHidden/>
              </w:rPr>
              <w:fldChar w:fldCharType="end"/>
            </w:r>
          </w:hyperlink>
        </w:p>
        <w:p w:rsidR="00A254D9" w:rsidRDefault="00AA156D" w:rsidP="00A254D9">
          <w:pPr>
            <w:pStyle w:val="11"/>
            <w:spacing w:line="240" w:lineRule="auto"/>
            <w:rPr>
              <w:noProof/>
            </w:rPr>
          </w:pPr>
          <w:hyperlink w:anchor="_Toc448145468" w:history="1">
            <w:r w:rsidR="00A254D9" w:rsidRPr="00233B28">
              <w:rPr>
                <w:rStyle w:val="a6"/>
                <w:noProof/>
              </w:rPr>
              <w:t>Перспективы развития Банка в 2016 году</w:t>
            </w:r>
            <w:r w:rsidR="00A254D9">
              <w:rPr>
                <w:noProof/>
                <w:webHidden/>
              </w:rPr>
              <w:tab/>
            </w:r>
            <w:r w:rsidR="00A254D9">
              <w:rPr>
                <w:noProof/>
                <w:webHidden/>
              </w:rPr>
              <w:fldChar w:fldCharType="begin"/>
            </w:r>
            <w:r w:rsidR="00A254D9">
              <w:rPr>
                <w:noProof/>
                <w:webHidden/>
              </w:rPr>
              <w:instrText xml:space="preserve"> PAGEREF _Toc448145468 \h </w:instrText>
            </w:r>
            <w:r w:rsidR="00A254D9">
              <w:rPr>
                <w:noProof/>
                <w:webHidden/>
              </w:rPr>
            </w:r>
            <w:r w:rsidR="00A254D9">
              <w:rPr>
                <w:noProof/>
                <w:webHidden/>
              </w:rPr>
              <w:fldChar w:fldCharType="separate"/>
            </w:r>
            <w:r w:rsidR="005B174C">
              <w:rPr>
                <w:noProof/>
                <w:webHidden/>
              </w:rPr>
              <w:t>12</w:t>
            </w:r>
            <w:r w:rsidR="00A254D9">
              <w:rPr>
                <w:noProof/>
                <w:webHidden/>
              </w:rPr>
              <w:fldChar w:fldCharType="end"/>
            </w:r>
          </w:hyperlink>
        </w:p>
        <w:p w:rsidR="00A254D9" w:rsidRDefault="00AA156D" w:rsidP="00A254D9">
          <w:pPr>
            <w:pStyle w:val="11"/>
            <w:spacing w:line="240" w:lineRule="auto"/>
            <w:rPr>
              <w:noProof/>
            </w:rPr>
          </w:pPr>
          <w:hyperlink w:anchor="_Toc448145469" w:history="1">
            <w:r w:rsidR="00A254D9" w:rsidRPr="00233B28">
              <w:rPr>
                <w:rStyle w:val="a6"/>
                <w:rFonts w:ascii="Georgia" w:hAnsi="Georgia"/>
                <w:noProof/>
              </w:rPr>
              <w:t>РОЗНИЧНЫЙ БИЗНЕС</w:t>
            </w:r>
            <w:r w:rsidR="00A254D9">
              <w:rPr>
                <w:noProof/>
                <w:webHidden/>
              </w:rPr>
              <w:tab/>
            </w:r>
            <w:r w:rsidR="00A254D9">
              <w:rPr>
                <w:noProof/>
                <w:webHidden/>
              </w:rPr>
              <w:fldChar w:fldCharType="begin"/>
            </w:r>
            <w:r w:rsidR="00A254D9">
              <w:rPr>
                <w:noProof/>
                <w:webHidden/>
              </w:rPr>
              <w:instrText xml:space="preserve"> PAGEREF _Toc448145469 \h </w:instrText>
            </w:r>
            <w:r w:rsidR="00A254D9">
              <w:rPr>
                <w:noProof/>
                <w:webHidden/>
              </w:rPr>
            </w:r>
            <w:r w:rsidR="00A254D9">
              <w:rPr>
                <w:noProof/>
                <w:webHidden/>
              </w:rPr>
              <w:fldChar w:fldCharType="separate"/>
            </w:r>
            <w:r w:rsidR="005B174C">
              <w:rPr>
                <w:noProof/>
                <w:webHidden/>
              </w:rPr>
              <w:t>14</w:t>
            </w:r>
            <w:r w:rsidR="00A254D9">
              <w:rPr>
                <w:noProof/>
                <w:webHidden/>
              </w:rPr>
              <w:fldChar w:fldCharType="end"/>
            </w:r>
          </w:hyperlink>
        </w:p>
        <w:p w:rsidR="00A254D9" w:rsidRDefault="00AA156D" w:rsidP="00A254D9">
          <w:pPr>
            <w:pStyle w:val="11"/>
            <w:spacing w:line="240" w:lineRule="auto"/>
            <w:rPr>
              <w:noProof/>
            </w:rPr>
          </w:pPr>
          <w:hyperlink w:anchor="_Toc448145470" w:history="1">
            <w:r w:rsidR="00A254D9" w:rsidRPr="00233B28">
              <w:rPr>
                <w:rStyle w:val="a6"/>
                <w:rFonts w:ascii="Georgia" w:hAnsi="Georgia"/>
                <w:noProof/>
              </w:rPr>
              <w:t>КОРПОРАТИВНЫЙ БИЗНЕС</w:t>
            </w:r>
            <w:r w:rsidR="00A254D9">
              <w:rPr>
                <w:noProof/>
                <w:webHidden/>
              </w:rPr>
              <w:tab/>
            </w:r>
            <w:r w:rsidR="00A254D9">
              <w:rPr>
                <w:noProof/>
                <w:webHidden/>
              </w:rPr>
              <w:fldChar w:fldCharType="begin"/>
            </w:r>
            <w:r w:rsidR="00A254D9">
              <w:rPr>
                <w:noProof/>
                <w:webHidden/>
              </w:rPr>
              <w:instrText xml:space="preserve"> PAGEREF _Toc448145470 \h </w:instrText>
            </w:r>
            <w:r w:rsidR="00A254D9">
              <w:rPr>
                <w:noProof/>
                <w:webHidden/>
              </w:rPr>
            </w:r>
            <w:r w:rsidR="00A254D9">
              <w:rPr>
                <w:noProof/>
                <w:webHidden/>
              </w:rPr>
              <w:fldChar w:fldCharType="separate"/>
            </w:r>
            <w:r w:rsidR="005B174C">
              <w:rPr>
                <w:noProof/>
                <w:webHidden/>
              </w:rPr>
              <w:t>18</w:t>
            </w:r>
            <w:r w:rsidR="00A254D9">
              <w:rPr>
                <w:noProof/>
                <w:webHidden/>
              </w:rPr>
              <w:fldChar w:fldCharType="end"/>
            </w:r>
          </w:hyperlink>
        </w:p>
        <w:p w:rsidR="00A254D9" w:rsidRDefault="00AA156D" w:rsidP="00A254D9">
          <w:pPr>
            <w:pStyle w:val="11"/>
            <w:spacing w:line="240" w:lineRule="auto"/>
            <w:rPr>
              <w:noProof/>
            </w:rPr>
          </w:pPr>
          <w:hyperlink w:anchor="_Toc448145472" w:history="1">
            <w:r w:rsidR="00A254D9" w:rsidRPr="00233B28">
              <w:rPr>
                <w:rStyle w:val="a6"/>
                <w:rFonts w:ascii="Georgia" w:hAnsi="Georgia"/>
                <w:noProof/>
              </w:rPr>
              <w:t>ИНВЕСТИЦИОННЫЙ БИЗНЕС</w:t>
            </w:r>
            <w:r w:rsidR="00A254D9">
              <w:rPr>
                <w:noProof/>
                <w:webHidden/>
              </w:rPr>
              <w:tab/>
            </w:r>
            <w:r w:rsidR="00A254D9">
              <w:rPr>
                <w:noProof/>
                <w:webHidden/>
              </w:rPr>
              <w:fldChar w:fldCharType="begin"/>
            </w:r>
            <w:r w:rsidR="00A254D9">
              <w:rPr>
                <w:noProof/>
                <w:webHidden/>
              </w:rPr>
              <w:instrText xml:space="preserve"> PAGEREF _Toc448145472 \h </w:instrText>
            </w:r>
            <w:r w:rsidR="00A254D9">
              <w:rPr>
                <w:noProof/>
                <w:webHidden/>
              </w:rPr>
            </w:r>
            <w:r w:rsidR="00A254D9">
              <w:rPr>
                <w:noProof/>
                <w:webHidden/>
              </w:rPr>
              <w:fldChar w:fldCharType="separate"/>
            </w:r>
            <w:r w:rsidR="005B174C">
              <w:rPr>
                <w:noProof/>
                <w:webHidden/>
              </w:rPr>
              <w:t>23</w:t>
            </w:r>
            <w:r w:rsidR="00A254D9">
              <w:rPr>
                <w:noProof/>
                <w:webHidden/>
              </w:rPr>
              <w:fldChar w:fldCharType="end"/>
            </w:r>
          </w:hyperlink>
        </w:p>
        <w:p w:rsidR="00A254D9" w:rsidRDefault="00AA156D" w:rsidP="00A254D9">
          <w:pPr>
            <w:pStyle w:val="21"/>
            <w:spacing w:line="240" w:lineRule="auto"/>
            <w:rPr>
              <w:noProof/>
            </w:rPr>
          </w:pPr>
          <w:hyperlink w:anchor="_Toc448145473" w:history="1">
            <w:r w:rsidR="00A254D9" w:rsidRPr="00233B28">
              <w:rPr>
                <w:rStyle w:val="a6"/>
                <w:noProof/>
              </w:rPr>
              <w:t>Обзор финансовых результатов</w:t>
            </w:r>
            <w:r w:rsidR="00A254D9">
              <w:rPr>
                <w:noProof/>
                <w:webHidden/>
              </w:rPr>
              <w:tab/>
            </w:r>
            <w:r w:rsidR="00A254D9">
              <w:rPr>
                <w:noProof/>
                <w:webHidden/>
              </w:rPr>
              <w:fldChar w:fldCharType="begin"/>
            </w:r>
            <w:r w:rsidR="00A254D9">
              <w:rPr>
                <w:noProof/>
                <w:webHidden/>
              </w:rPr>
              <w:instrText xml:space="preserve"> PAGEREF _Toc448145473 \h </w:instrText>
            </w:r>
            <w:r w:rsidR="00A254D9">
              <w:rPr>
                <w:noProof/>
                <w:webHidden/>
              </w:rPr>
            </w:r>
            <w:r w:rsidR="00A254D9">
              <w:rPr>
                <w:noProof/>
                <w:webHidden/>
              </w:rPr>
              <w:fldChar w:fldCharType="separate"/>
            </w:r>
            <w:r w:rsidR="005B174C">
              <w:rPr>
                <w:noProof/>
                <w:webHidden/>
              </w:rPr>
              <w:t>27</w:t>
            </w:r>
            <w:r w:rsidR="00A254D9">
              <w:rPr>
                <w:noProof/>
                <w:webHidden/>
              </w:rPr>
              <w:fldChar w:fldCharType="end"/>
            </w:r>
          </w:hyperlink>
        </w:p>
        <w:p w:rsidR="00A254D9" w:rsidRDefault="00AA156D" w:rsidP="00A254D9">
          <w:pPr>
            <w:pStyle w:val="21"/>
            <w:spacing w:line="240" w:lineRule="auto"/>
            <w:rPr>
              <w:noProof/>
            </w:rPr>
          </w:pPr>
          <w:hyperlink w:anchor="_Toc448145474" w:history="1">
            <w:r w:rsidR="00A254D9" w:rsidRPr="00233B28">
              <w:rPr>
                <w:rStyle w:val="a6"/>
                <w:noProof/>
              </w:rPr>
              <w:t>Система внутреннего контроля</w:t>
            </w:r>
            <w:r w:rsidR="00A254D9">
              <w:rPr>
                <w:noProof/>
                <w:webHidden/>
              </w:rPr>
              <w:tab/>
            </w:r>
            <w:r w:rsidR="00A254D9">
              <w:rPr>
                <w:noProof/>
                <w:webHidden/>
              </w:rPr>
              <w:fldChar w:fldCharType="begin"/>
            </w:r>
            <w:r w:rsidR="00A254D9">
              <w:rPr>
                <w:noProof/>
                <w:webHidden/>
              </w:rPr>
              <w:instrText xml:space="preserve"> PAGEREF _Toc448145474 \h </w:instrText>
            </w:r>
            <w:r w:rsidR="00A254D9">
              <w:rPr>
                <w:noProof/>
                <w:webHidden/>
              </w:rPr>
            </w:r>
            <w:r w:rsidR="00A254D9">
              <w:rPr>
                <w:noProof/>
                <w:webHidden/>
              </w:rPr>
              <w:fldChar w:fldCharType="separate"/>
            </w:r>
            <w:r w:rsidR="005B174C">
              <w:rPr>
                <w:noProof/>
                <w:webHidden/>
              </w:rPr>
              <w:t>29</w:t>
            </w:r>
            <w:r w:rsidR="00A254D9">
              <w:rPr>
                <w:noProof/>
                <w:webHidden/>
              </w:rPr>
              <w:fldChar w:fldCharType="end"/>
            </w:r>
          </w:hyperlink>
        </w:p>
        <w:p w:rsidR="00A254D9" w:rsidRDefault="00AA156D" w:rsidP="00A254D9">
          <w:pPr>
            <w:pStyle w:val="21"/>
            <w:spacing w:line="240" w:lineRule="auto"/>
            <w:rPr>
              <w:noProof/>
            </w:rPr>
          </w:pPr>
          <w:hyperlink w:anchor="_Toc448145475" w:history="1">
            <w:r w:rsidR="00A254D9" w:rsidRPr="00233B28">
              <w:rPr>
                <w:rStyle w:val="a6"/>
                <w:noProof/>
              </w:rPr>
              <w:t>Управление рисками</w:t>
            </w:r>
            <w:r w:rsidR="00A254D9">
              <w:rPr>
                <w:noProof/>
                <w:webHidden/>
              </w:rPr>
              <w:tab/>
            </w:r>
            <w:r w:rsidR="00A254D9">
              <w:rPr>
                <w:noProof/>
                <w:webHidden/>
              </w:rPr>
              <w:fldChar w:fldCharType="begin"/>
            </w:r>
            <w:r w:rsidR="00A254D9">
              <w:rPr>
                <w:noProof/>
                <w:webHidden/>
              </w:rPr>
              <w:instrText xml:space="preserve"> PAGEREF _Toc448145475 \h </w:instrText>
            </w:r>
            <w:r w:rsidR="00A254D9">
              <w:rPr>
                <w:noProof/>
                <w:webHidden/>
              </w:rPr>
            </w:r>
            <w:r w:rsidR="00A254D9">
              <w:rPr>
                <w:noProof/>
                <w:webHidden/>
              </w:rPr>
              <w:fldChar w:fldCharType="separate"/>
            </w:r>
            <w:r w:rsidR="005B174C">
              <w:rPr>
                <w:noProof/>
                <w:webHidden/>
              </w:rPr>
              <w:t>31</w:t>
            </w:r>
            <w:r w:rsidR="00A254D9">
              <w:rPr>
                <w:noProof/>
                <w:webHidden/>
              </w:rPr>
              <w:fldChar w:fldCharType="end"/>
            </w:r>
          </w:hyperlink>
        </w:p>
        <w:p w:rsidR="00A254D9" w:rsidRDefault="00AA156D" w:rsidP="00A254D9">
          <w:pPr>
            <w:pStyle w:val="21"/>
            <w:spacing w:line="240" w:lineRule="auto"/>
            <w:rPr>
              <w:noProof/>
            </w:rPr>
          </w:pPr>
          <w:hyperlink w:anchor="_Toc448145476" w:history="1">
            <w:r w:rsidR="00A254D9" w:rsidRPr="00233B28">
              <w:rPr>
                <w:rStyle w:val="a6"/>
                <w:noProof/>
              </w:rPr>
              <w:t>Развитие сети филиалов</w:t>
            </w:r>
            <w:r w:rsidR="00A254D9">
              <w:rPr>
                <w:noProof/>
                <w:webHidden/>
              </w:rPr>
              <w:tab/>
            </w:r>
            <w:r w:rsidR="00A254D9">
              <w:rPr>
                <w:noProof/>
                <w:webHidden/>
              </w:rPr>
              <w:fldChar w:fldCharType="begin"/>
            </w:r>
            <w:r w:rsidR="00A254D9">
              <w:rPr>
                <w:noProof/>
                <w:webHidden/>
              </w:rPr>
              <w:instrText xml:space="preserve"> PAGEREF _Toc448145476 \h </w:instrText>
            </w:r>
            <w:r w:rsidR="00A254D9">
              <w:rPr>
                <w:noProof/>
                <w:webHidden/>
              </w:rPr>
            </w:r>
            <w:r w:rsidR="00A254D9">
              <w:rPr>
                <w:noProof/>
                <w:webHidden/>
              </w:rPr>
              <w:fldChar w:fldCharType="separate"/>
            </w:r>
            <w:r w:rsidR="005B174C">
              <w:rPr>
                <w:noProof/>
                <w:webHidden/>
              </w:rPr>
              <w:t>35</w:t>
            </w:r>
            <w:r w:rsidR="00A254D9">
              <w:rPr>
                <w:noProof/>
                <w:webHidden/>
              </w:rPr>
              <w:fldChar w:fldCharType="end"/>
            </w:r>
          </w:hyperlink>
        </w:p>
        <w:p w:rsidR="00A254D9" w:rsidRDefault="00AA156D" w:rsidP="00A254D9">
          <w:pPr>
            <w:pStyle w:val="21"/>
            <w:spacing w:line="240" w:lineRule="auto"/>
            <w:rPr>
              <w:noProof/>
            </w:rPr>
          </w:pPr>
          <w:hyperlink w:anchor="_Toc448145477" w:history="1">
            <w:r w:rsidR="00A254D9" w:rsidRPr="00233B28">
              <w:rPr>
                <w:rStyle w:val="a6"/>
                <w:noProof/>
              </w:rPr>
              <w:t>Акционеры</w:t>
            </w:r>
            <w:r w:rsidR="00A254D9">
              <w:rPr>
                <w:noProof/>
                <w:webHidden/>
              </w:rPr>
              <w:tab/>
            </w:r>
            <w:r w:rsidR="00A254D9">
              <w:rPr>
                <w:noProof/>
                <w:webHidden/>
              </w:rPr>
              <w:fldChar w:fldCharType="begin"/>
            </w:r>
            <w:r w:rsidR="00A254D9">
              <w:rPr>
                <w:noProof/>
                <w:webHidden/>
              </w:rPr>
              <w:instrText xml:space="preserve"> PAGEREF _Toc448145477 \h </w:instrText>
            </w:r>
            <w:r w:rsidR="00A254D9">
              <w:rPr>
                <w:noProof/>
                <w:webHidden/>
              </w:rPr>
            </w:r>
            <w:r w:rsidR="00A254D9">
              <w:rPr>
                <w:noProof/>
                <w:webHidden/>
              </w:rPr>
              <w:fldChar w:fldCharType="separate"/>
            </w:r>
            <w:r w:rsidR="005B174C">
              <w:rPr>
                <w:noProof/>
                <w:webHidden/>
              </w:rPr>
              <w:t>37</w:t>
            </w:r>
            <w:r w:rsidR="00A254D9">
              <w:rPr>
                <w:noProof/>
                <w:webHidden/>
              </w:rPr>
              <w:fldChar w:fldCharType="end"/>
            </w:r>
          </w:hyperlink>
        </w:p>
        <w:p w:rsidR="00A254D9" w:rsidRDefault="00AA156D" w:rsidP="00A254D9">
          <w:pPr>
            <w:pStyle w:val="21"/>
            <w:spacing w:line="240" w:lineRule="auto"/>
            <w:rPr>
              <w:noProof/>
            </w:rPr>
          </w:pPr>
          <w:hyperlink w:anchor="_Toc448145478" w:history="1">
            <w:r w:rsidR="00A254D9" w:rsidRPr="00233B28">
              <w:rPr>
                <w:rStyle w:val="a6"/>
                <w:noProof/>
              </w:rPr>
              <w:t>Отчет о выплате дивидендов по акциям Банка</w:t>
            </w:r>
            <w:r w:rsidR="00A254D9">
              <w:rPr>
                <w:noProof/>
                <w:webHidden/>
              </w:rPr>
              <w:tab/>
            </w:r>
            <w:r w:rsidR="00A254D9">
              <w:rPr>
                <w:noProof/>
                <w:webHidden/>
              </w:rPr>
              <w:fldChar w:fldCharType="begin"/>
            </w:r>
            <w:r w:rsidR="00A254D9">
              <w:rPr>
                <w:noProof/>
                <w:webHidden/>
              </w:rPr>
              <w:instrText xml:space="preserve"> PAGEREF _Toc448145478 \h </w:instrText>
            </w:r>
            <w:r w:rsidR="00A254D9">
              <w:rPr>
                <w:noProof/>
                <w:webHidden/>
              </w:rPr>
            </w:r>
            <w:r w:rsidR="00A254D9">
              <w:rPr>
                <w:noProof/>
                <w:webHidden/>
              </w:rPr>
              <w:fldChar w:fldCharType="separate"/>
            </w:r>
            <w:r w:rsidR="005B174C">
              <w:rPr>
                <w:noProof/>
                <w:webHidden/>
              </w:rPr>
              <w:t>37</w:t>
            </w:r>
            <w:r w:rsidR="00A254D9">
              <w:rPr>
                <w:noProof/>
                <w:webHidden/>
              </w:rPr>
              <w:fldChar w:fldCharType="end"/>
            </w:r>
          </w:hyperlink>
        </w:p>
        <w:p w:rsidR="00A254D9" w:rsidRDefault="00AA156D" w:rsidP="00A254D9">
          <w:pPr>
            <w:pStyle w:val="11"/>
            <w:spacing w:line="240" w:lineRule="auto"/>
            <w:rPr>
              <w:noProof/>
            </w:rPr>
          </w:pPr>
          <w:hyperlink w:anchor="_Toc448145479" w:history="1">
            <w:r w:rsidR="00A254D9" w:rsidRPr="00233B28">
              <w:rPr>
                <w:rStyle w:val="a6"/>
                <w:noProof/>
              </w:rPr>
              <w:t>Совет Директоров</w:t>
            </w:r>
            <w:r w:rsidR="00A254D9">
              <w:rPr>
                <w:noProof/>
                <w:webHidden/>
              </w:rPr>
              <w:tab/>
            </w:r>
            <w:r w:rsidR="00A254D9">
              <w:rPr>
                <w:noProof/>
                <w:webHidden/>
              </w:rPr>
              <w:fldChar w:fldCharType="begin"/>
            </w:r>
            <w:r w:rsidR="00A254D9">
              <w:rPr>
                <w:noProof/>
                <w:webHidden/>
              </w:rPr>
              <w:instrText xml:space="preserve"> PAGEREF _Toc448145479 \h </w:instrText>
            </w:r>
            <w:r w:rsidR="00A254D9">
              <w:rPr>
                <w:noProof/>
                <w:webHidden/>
              </w:rPr>
            </w:r>
            <w:r w:rsidR="00A254D9">
              <w:rPr>
                <w:noProof/>
                <w:webHidden/>
              </w:rPr>
              <w:fldChar w:fldCharType="separate"/>
            </w:r>
            <w:r w:rsidR="005B174C">
              <w:rPr>
                <w:noProof/>
                <w:webHidden/>
              </w:rPr>
              <w:t>38</w:t>
            </w:r>
            <w:r w:rsidR="00A254D9">
              <w:rPr>
                <w:noProof/>
                <w:webHidden/>
              </w:rPr>
              <w:fldChar w:fldCharType="end"/>
            </w:r>
          </w:hyperlink>
        </w:p>
        <w:p w:rsidR="00A254D9" w:rsidRDefault="00AA156D" w:rsidP="00A254D9">
          <w:pPr>
            <w:pStyle w:val="11"/>
            <w:spacing w:line="240" w:lineRule="auto"/>
            <w:rPr>
              <w:noProof/>
            </w:rPr>
          </w:pPr>
          <w:hyperlink w:anchor="_Toc448145480" w:history="1">
            <w:r w:rsidR="00A254D9" w:rsidRPr="00233B28">
              <w:rPr>
                <w:rStyle w:val="a6"/>
                <w:noProof/>
              </w:rPr>
              <w:t>Информация об изменениях в составе Совета Директоров</w:t>
            </w:r>
            <w:r w:rsidR="00A254D9">
              <w:rPr>
                <w:noProof/>
                <w:webHidden/>
              </w:rPr>
              <w:tab/>
            </w:r>
            <w:r w:rsidR="00A254D9">
              <w:rPr>
                <w:noProof/>
                <w:webHidden/>
              </w:rPr>
              <w:fldChar w:fldCharType="begin"/>
            </w:r>
            <w:r w:rsidR="00A254D9">
              <w:rPr>
                <w:noProof/>
                <w:webHidden/>
              </w:rPr>
              <w:instrText xml:space="preserve"> PAGEREF _Toc448145480 \h </w:instrText>
            </w:r>
            <w:r w:rsidR="00A254D9">
              <w:rPr>
                <w:noProof/>
                <w:webHidden/>
              </w:rPr>
            </w:r>
            <w:r w:rsidR="00A254D9">
              <w:rPr>
                <w:noProof/>
                <w:webHidden/>
              </w:rPr>
              <w:fldChar w:fldCharType="separate"/>
            </w:r>
            <w:r w:rsidR="005B174C">
              <w:rPr>
                <w:noProof/>
                <w:webHidden/>
              </w:rPr>
              <w:t>40</w:t>
            </w:r>
            <w:r w:rsidR="00A254D9">
              <w:rPr>
                <w:noProof/>
                <w:webHidden/>
              </w:rPr>
              <w:fldChar w:fldCharType="end"/>
            </w:r>
          </w:hyperlink>
        </w:p>
        <w:p w:rsidR="00A254D9" w:rsidRDefault="00AA156D" w:rsidP="00A254D9">
          <w:pPr>
            <w:pStyle w:val="11"/>
            <w:spacing w:line="240" w:lineRule="auto"/>
            <w:rPr>
              <w:noProof/>
            </w:rPr>
          </w:pPr>
          <w:hyperlink w:anchor="_Toc448145481" w:history="1">
            <w:r w:rsidR="00A254D9" w:rsidRPr="00233B28">
              <w:rPr>
                <w:rStyle w:val="a6"/>
                <w:noProof/>
              </w:rPr>
              <w:t>Вознаграждение членам Совета директоров</w:t>
            </w:r>
            <w:r w:rsidR="00A254D9">
              <w:rPr>
                <w:noProof/>
                <w:webHidden/>
              </w:rPr>
              <w:tab/>
            </w:r>
            <w:r w:rsidR="00A254D9">
              <w:rPr>
                <w:noProof/>
                <w:webHidden/>
              </w:rPr>
              <w:fldChar w:fldCharType="begin"/>
            </w:r>
            <w:r w:rsidR="00A254D9">
              <w:rPr>
                <w:noProof/>
                <w:webHidden/>
              </w:rPr>
              <w:instrText xml:space="preserve"> PAGEREF _Toc448145481 \h </w:instrText>
            </w:r>
            <w:r w:rsidR="00A254D9">
              <w:rPr>
                <w:noProof/>
                <w:webHidden/>
              </w:rPr>
            </w:r>
            <w:r w:rsidR="00A254D9">
              <w:rPr>
                <w:noProof/>
                <w:webHidden/>
              </w:rPr>
              <w:fldChar w:fldCharType="separate"/>
            </w:r>
            <w:r w:rsidR="005B174C">
              <w:rPr>
                <w:noProof/>
                <w:webHidden/>
              </w:rPr>
              <w:t>40</w:t>
            </w:r>
            <w:r w:rsidR="00A254D9">
              <w:rPr>
                <w:noProof/>
                <w:webHidden/>
              </w:rPr>
              <w:fldChar w:fldCharType="end"/>
            </w:r>
          </w:hyperlink>
        </w:p>
        <w:p w:rsidR="00A254D9" w:rsidRDefault="00AA156D" w:rsidP="00A254D9">
          <w:pPr>
            <w:pStyle w:val="11"/>
            <w:spacing w:line="240" w:lineRule="auto"/>
            <w:rPr>
              <w:noProof/>
            </w:rPr>
          </w:pPr>
          <w:hyperlink w:anchor="_Toc448145482" w:history="1">
            <w:r w:rsidR="00A254D9" w:rsidRPr="00233B28">
              <w:rPr>
                <w:rStyle w:val="a6"/>
                <w:noProof/>
              </w:rPr>
              <w:t>Правление</w:t>
            </w:r>
            <w:r w:rsidR="00A254D9">
              <w:rPr>
                <w:noProof/>
                <w:webHidden/>
              </w:rPr>
              <w:tab/>
            </w:r>
            <w:r w:rsidR="00A254D9">
              <w:rPr>
                <w:noProof/>
                <w:webHidden/>
              </w:rPr>
              <w:fldChar w:fldCharType="begin"/>
            </w:r>
            <w:r w:rsidR="00A254D9">
              <w:rPr>
                <w:noProof/>
                <w:webHidden/>
              </w:rPr>
              <w:instrText xml:space="preserve"> PAGEREF _Toc448145482 \h </w:instrText>
            </w:r>
            <w:r w:rsidR="00A254D9">
              <w:rPr>
                <w:noProof/>
                <w:webHidden/>
              </w:rPr>
            </w:r>
            <w:r w:rsidR="00A254D9">
              <w:rPr>
                <w:noProof/>
                <w:webHidden/>
              </w:rPr>
              <w:fldChar w:fldCharType="separate"/>
            </w:r>
            <w:r w:rsidR="005B174C">
              <w:rPr>
                <w:noProof/>
                <w:webHidden/>
              </w:rPr>
              <w:t>41</w:t>
            </w:r>
            <w:r w:rsidR="00A254D9">
              <w:rPr>
                <w:noProof/>
                <w:webHidden/>
              </w:rPr>
              <w:fldChar w:fldCharType="end"/>
            </w:r>
          </w:hyperlink>
        </w:p>
        <w:p w:rsidR="00A254D9" w:rsidRDefault="00AA156D" w:rsidP="00A254D9">
          <w:pPr>
            <w:pStyle w:val="11"/>
            <w:spacing w:line="240" w:lineRule="auto"/>
            <w:rPr>
              <w:noProof/>
            </w:rPr>
          </w:pPr>
          <w:hyperlink w:anchor="_Toc448145483" w:history="1">
            <w:r w:rsidR="00A254D9" w:rsidRPr="00233B28">
              <w:rPr>
                <w:rStyle w:val="a6"/>
                <w:noProof/>
              </w:rPr>
              <w:t>Вознаграждения членам Правления</w:t>
            </w:r>
            <w:r w:rsidR="00A254D9">
              <w:rPr>
                <w:noProof/>
                <w:webHidden/>
              </w:rPr>
              <w:tab/>
            </w:r>
            <w:r w:rsidR="00A254D9">
              <w:rPr>
                <w:noProof/>
                <w:webHidden/>
              </w:rPr>
              <w:fldChar w:fldCharType="begin"/>
            </w:r>
            <w:r w:rsidR="00A254D9">
              <w:rPr>
                <w:noProof/>
                <w:webHidden/>
              </w:rPr>
              <w:instrText xml:space="preserve"> PAGEREF _Toc448145483 \h </w:instrText>
            </w:r>
            <w:r w:rsidR="00A254D9">
              <w:rPr>
                <w:noProof/>
                <w:webHidden/>
              </w:rPr>
            </w:r>
            <w:r w:rsidR="00A254D9">
              <w:rPr>
                <w:noProof/>
                <w:webHidden/>
              </w:rPr>
              <w:fldChar w:fldCharType="separate"/>
            </w:r>
            <w:r w:rsidR="005B174C">
              <w:rPr>
                <w:noProof/>
                <w:webHidden/>
              </w:rPr>
              <w:t>42</w:t>
            </w:r>
            <w:r w:rsidR="00A254D9">
              <w:rPr>
                <w:noProof/>
                <w:webHidden/>
              </w:rPr>
              <w:fldChar w:fldCharType="end"/>
            </w:r>
          </w:hyperlink>
        </w:p>
        <w:p w:rsidR="00A254D9" w:rsidRDefault="00AA156D" w:rsidP="00A254D9">
          <w:pPr>
            <w:pStyle w:val="11"/>
            <w:spacing w:line="240" w:lineRule="auto"/>
            <w:rPr>
              <w:noProof/>
            </w:rPr>
          </w:pPr>
          <w:hyperlink w:anchor="_Toc448145484" w:history="1">
            <w:r w:rsidR="00A254D9" w:rsidRPr="00233B28">
              <w:rPr>
                <w:rStyle w:val="a6"/>
                <w:noProof/>
              </w:rPr>
              <w:t>Сведения о крупных сделках и о сделках с заинтересованностью</w:t>
            </w:r>
            <w:r w:rsidR="00A254D9">
              <w:rPr>
                <w:noProof/>
                <w:webHidden/>
              </w:rPr>
              <w:tab/>
            </w:r>
            <w:r w:rsidR="00A254D9">
              <w:rPr>
                <w:noProof/>
                <w:webHidden/>
              </w:rPr>
              <w:fldChar w:fldCharType="begin"/>
            </w:r>
            <w:r w:rsidR="00A254D9">
              <w:rPr>
                <w:noProof/>
                <w:webHidden/>
              </w:rPr>
              <w:instrText xml:space="preserve"> PAGEREF _Toc448145484 \h </w:instrText>
            </w:r>
            <w:r w:rsidR="00A254D9">
              <w:rPr>
                <w:noProof/>
                <w:webHidden/>
              </w:rPr>
            </w:r>
            <w:r w:rsidR="00A254D9">
              <w:rPr>
                <w:noProof/>
                <w:webHidden/>
              </w:rPr>
              <w:fldChar w:fldCharType="separate"/>
            </w:r>
            <w:r w:rsidR="005B174C">
              <w:rPr>
                <w:noProof/>
                <w:webHidden/>
              </w:rPr>
              <w:t>43</w:t>
            </w:r>
            <w:r w:rsidR="00A254D9">
              <w:rPr>
                <w:noProof/>
                <w:webHidden/>
              </w:rPr>
              <w:fldChar w:fldCharType="end"/>
            </w:r>
          </w:hyperlink>
        </w:p>
        <w:p w:rsidR="00A254D9" w:rsidRDefault="00AA156D" w:rsidP="00A254D9">
          <w:pPr>
            <w:pStyle w:val="11"/>
            <w:spacing w:line="240" w:lineRule="auto"/>
            <w:rPr>
              <w:noProof/>
            </w:rPr>
          </w:pPr>
          <w:hyperlink w:anchor="_Toc448145485" w:history="1">
            <w:r w:rsidR="00A254D9" w:rsidRPr="00233B28">
              <w:rPr>
                <w:rStyle w:val="a6"/>
                <w:noProof/>
              </w:rPr>
              <w:t>Сведения о соблюдении ПАО «ИнтехБанк» Кодекса корпоративного поведения в 2015 году</w:t>
            </w:r>
            <w:r w:rsidR="00A254D9">
              <w:rPr>
                <w:noProof/>
                <w:webHidden/>
              </w:rPr>
              <w:tab/>
            </w:r>
            <w:r w:rsidR="00A254D9">
              <w:rPr>
                <w:noProof/>
                <w:webHidden/>
              </w:rPr>
              <w:fldChar w:fldCharType="begin"/>
            </w:r>
            <w:r w:rsidR="00A254D9">
              <w:rPr>
                <w:noProof/>
                <w:webHidden/>
              </w:rPr>
              <w:instrText xml:space="preserve"> PAGEREF _Toc448145485 \h </w:instrText>
            </w:r>
            <w:r w:rsidR="00A254D9">
              <w:rPr>
                <w:noProof/>
                <w:webHidden/>
              </w:rPr>
            </w:r>
            <w:r w:rsidR="00A254D9">
              <w:rPr>
                <w:noProof/>
                <w:webHidden/>
              </w:rPr>
              <w:fldChar w:fldCharType="separate"/>
            </w:r>
            <w:r w:rsidR="005B174C">
              <w:rPr>
                <w:noProof/>
                <w:webHidden/>
              </w:rPr>
              <w:t>46</w:t>
            </w:r>
            <w:r w:rsidR="00A254D9">
              <w:rPr>
                <w:noProof/>
                <w:webHidden/>
              </w:rPr>
              <w:fldChar w:fldCharType="end"/>
            </w:r>
          </w:hyperlink>
        </w:p>
        <w:p w:rsidR="00A254D9" w:rsidRDefault="00AA156D" w:rsidP="00A254D9">
          <w:pPr>
            <w:pStyle w:val="11"/>
            <w:spacing w:line="240" w:lineRule="auto"/>
            <w:rPr>
              <w:noProof/>
            </w:rPr>
          </w:pPr>
          <w:hyperlink w:anchor="_Toc448145486" w:history="1">
            <w:r w:rsidR="00A254D9" w:rsidRPr="00233B28">
              <w:rPr>
                <w:rStyle w:val="a6"/>
                <w:noProof/>
              </w:rPr>
              <w:t>Информация об объеме использованных энергетических ресурсов</w:t>
            </w:r>
            <w:r w:rsidR="00A254D9">
              <w:rPr>
                <w:noProof/>
                <w:webHidden/>
              </w:rPr>
              <w:tab/>
            </w:r>
            <w:r w:rsidR="00A254D9">
              <w:rPr>
                <w:noProof/>
                <w:webHidden/>
              </w:rPr>
              <w:fldChar w:fldCharType="begin"/>
            </w:r>
            <w:r w:rsidR="00A254D9">
              <w:rPr>
                <w:noProof/>
                <w:webHidden/>
              </w:rPr>
              <w:instrText xml:space="preserve"> PAGEREF _Toc448145486 \h </w:instrText>
            </w:r>
            <w:r w:rsidR="00A254D9">
              <w:rPr>
                <w:noProof/>
                <w:webHidden/>
              </w:rPr>
            </w:r>
            <w:r w:rsidR="00A254D9">
              <w:rPr>
                <w:noProof/>
                <w:webHidden/>
              </w:rPr>
              <w:fldChar w:fldCharType="separate"/>
            </w:r>
            <w:r w:rsidR="005B174C">
              <w:rPr>
                <w:noProof/>
                <w:webHidden/>
              </w:rPr>
              <w:t>56</w:t>
            </w:r>
            <w:r w:rsidR="00A254D9">
              <w:rPr>
                <w:noProof/>
                <w:webHidden/>
              </w:rPr>
              <w:fldChar w:fldCharType="end"/>
            </w:r>
          </w:hyperlink>
        </w:p>
        <w:p w:rsidR="00A254D9" w:rsidRDefault="00AA156D" w:rsidP="00A254D9">
          <w:pPr>
            <w:pStyle w:val="11"/>
            <w:spacing w:line="240" w:lineRule="auto"/>
            <w:rPr>
              <w:noProof/>
            </w:rPr>
          </w:pPr>
          <w:hyperlink w:anchor="_Toc448145487" w:history="1">
            <w:r w:rsidR="00A254D9" w:rsidRPr="00233B28">
              <w:rPr>
                <w:rStyle w:val="a6"/>
                <w:noProof/>
              </w:rPr>
              <w:t>Аудиторское заключение</w:t>
            </w:r>
            <w:r w:rsidR="00A254D9">
              <w:rPr>
                <w:noProof/>
                <w:webHidden/>
              </w:rPr>
              <w:tab/>
            </w:r>
            <w:r w:rsidR="00A254D9">
              <w:rPr>
                <w:noProof/>
                <w:webHidden/>
              </w:rPr>
              <w:fldChar w:fldCharType="begin"/>
            </w:r>
            <w:r w:rsidR="00A254D9">
              <w:rPr>
                <w:noProof/>
                <w:webHidden/>
              </w:rPr>
              <w:instrText xml:space="preserve"> PAGEREF _Toc448145487 \h </w:instrText>
            </w:r>
            <w:r w:rsidR="00A254D9">
              <w:rPr>
                <w:noProof/>
                <w:webHidden/>
              </w:rPr>
            </w:r>
            <w:r w:rsidR="00A254D9">
              <w:rPr>
                <w:noProof/>
                <w:webHidden/>
              </w:rPr>
              <w:fldChar w:fldCharType="separate"/>
            </w:r>
            <w:r w:rsidR="005B174C">
              <w:rPr>
                <w:noProof/>
                <w:webHidden/>
              </w:rPr>
              <w:t>57</w:t>
            </w:r>
            <w:r w:rsidR="00A254D9">
              <w:rPr>
                <w:noProof/>
                <w:webHidden/>
              </w:rPr>
              <w:fldChar w:fldCharType="end"/>
            </w:r>
          </w:hyperlink>
        </w:p>
        <w:p w:rsidR="00A254D9" w:rsidRDefault="00AA156D" w:rsidP="00A254D9">
          <w:pPr>
            <w:pStyle w:val="11"/>
            <w:spacing w:line="240" w:lineRule="auto"/>
            <w:rPr>
              <w:noProof/>
            </w:rPr>
          </w:pPr>
          <w:hyperlink w:anchor="_Toc448145488" w:history="1">
            <w:r w:rsidR="00A254D9" w:rsidRPr="00233B28">
              <w:rPr>
                <w:rStyle w:val="a6"/>
                <w:noProof/>
              </w:rPr>
              <w:t>Бухгалтерский баланс</w:t>
            </w:r>
            <w:r w:rsidR="00A254D9">
              <w:rPr>
                <w:noProof/>
                <w:webHidden/>
              </w:rPr>
              <w:tab/>
            </w:r>
            <w:r w:rsidR="00A254D9">
              <w:rPr>
                <w:noProof/>
                <w:webHidden/>
              </w:rPr>
              <w:fldChar w:fldCharType="begin"/>
            </w:r>
            <w:r w:rsidR="00A254D9">
              <w:rPr>
                <w:noProof/>
                <w:webHidden/>
              </w:rPr>
              <w:instrText xml:space="preserve"> PAGEREF _Toc448145488 \h </w:instrText>
            </w:r>
            <w:r w:rsidR="00A254D9">
              <w:rPr>
                <w:noProof/>
                <w:webHidden/>
              </w:rPr>
            </w:r>
            <w:r w:rsidR="00A254D9">
              <w:rPr>
                <w:noProof/>
                <w:webHidden/>
              </w:rPr>
              <w:fldChar w:fldCharType="separate"/>
            </w:r>
            <w:r w:rsidR="005B174C">
              <w:rPr>
                <w:noProof/>
                <w:webHidden/>
              </w:rPr>
              <w:t>60</w:t>
            </w:r>
            <w:r w:rsidR="00A254D9">
              <w:rPr>
                <w:noProof/>
                <w:webHidden/>
              </w:rPr>
              <w:fldChar w:fldCharType="end"/>
            </w:r>
          </w:hyperlink>
        </w:p>
        <w:p w:rsidR="00A254D9" w:rsidRDefault="00AA156D" w:rsidP="00A254D9">
          <w:pPr>
            <w:pStyle w:val="11"/>
            <w:spacing w:line="240" w:lineRule="auto"/>
            <w:rPr>
              <w:noProof/>
            </w:rPr>
          </w:pPr>
          <w:hyperlink w:anchor="_Toc448145489" w:history="1">
            <w:r w:rsidR="00A254D9" w:rsidRPr="00233B28">
              <w:rPr>
                <w:rStyle w:val="a6"/>
                <w:noProof/>
              </w:rPr>
              <w:t>Отчет о прибылях и убытках</w:t>
            </w:r>
            <w:r w:rsidR="00A254D9">
              <w:rPr>
                <w:noProof/>
                <w:webHidden/>
              </w:rPr>
              <w:tab/>
            </w:r>
            <w:r w:rsidR="00A254D9">
              <w:rPr>
                <w:noProof/>
                <w:webHidden/>
              </w:rPr>
              <w:fldChar w:fldCharType="begin"/>
            </w:r>
            <w:r w:rsidR="00A254D9">
              <w:rPr>
                <w:noProof/>
                <w:webHidden/>
              </w:rPr>
              <w:instrText xml:space="preserve"> PAGEREF _Toc448145489 \h </w:instrText>
            </w:r>
            <w:r w:rsidR="00A254D9">
              <w:rPr>
                <w:noProof/>
                <w:webHidden/>
              </w:rPr>
            </w:r>
            <w:r w:rsidR="00A254D9">
              <w:rPr>
                <w:noProof/>
                <w:webHidden/>
              </w:rPr>
              <w:fldChar w:fldCharType="separate"/>
            </w:r>
            <w:r w:rsidR="005B174C">
              <w:rPr>
                <w:noProof/>
                <w:webHidden/>
              </w:rPr>
              <w:t>62</w:t>
            </w:r>
            <w:r w:rsidR="00A254D9">
              <w:rPr>
                <w:noProof/>
                <w:webHidden/>
              </w:rPr>
              <w:fldChar w:fldCharType="end"/>
            </w:r>
          </w:hyperlink>
        </w:p>
        <w:p w:rsidR="00A254D9" w:rsidRDefault="00AA156D" w:rsidP="00A254D9">
          <w:pPr>
            <w:pStyle w:val="11"/>
            <w:spacing w:line="240" w:lineRule="auto"/>
            <w:rPr>
              <w:noProof/>
            </w:rPr>
          </w:pPr>
          <w:hyperlink w:anchor="_Toc448145490" w:history="1">
            <w:r w:rsidR="00A254D9" w:rsidRPr="00233B28">
              <w:rPr>
                <w:rStyle w:val="a6"/>
                <w:noProof/>
              </w:rPr>
              <w:t>Отчет об уровне достаточности капитала для покрытия рисков, величине резервов на покрытие сомнительных ссуд и иных активов</w:t>
            </w:r>
            <w:r w:rsidR="00A254D9">
              <w:rPr>
                <w:noProof/>
                <w:webHidden/>
              </w:rPr>
              <w:tab/>
            </w:r>
            <w:r w:rsidR="00A254D9">
              <w:rPr>
                <w:noProof/>
                <w:webHidden/>
              </w:rPr>
              <w:fldChar w:fldCharType="begin"/>
            </w:r>
            <w:r w:rsidR="00A254D9">
              <w:rPr>
                <w:noProof/>
                <w:webHidden/>
              </w:rPr>
              <w:instrText xml:space="preserve"> PAGEREF _Toc448145490 \h </w:instrText>
            </w:r>
            <w:r w:rsidR="00A254D9">
              <w:rPr>
                <w:noProof/>
                <w:webHidden/>
              </w:rPr>
            </w:r>
            <w:r w:rsidR="00A254D9">
              <w:rPr>
                <w:noProof/>
                <w:webHidden/>
              </w:rPr>
              <w:fldChar w:fldCharType="separate"/>
            </w:r>
            <w:r w:rsidR="005B174C">
              <w:rPr>
                <w:noProof/>
                <w:webHidden/>
              </w:rPr>
              <w:t>64</w:t>
            </w:r>
            <w:r w:rsidR="00A254D9">
              <w:rPr>
                <w:noProof/>
                <w:webHidden/>
              </w:rPr>
              <w:fldChar w:fldCharType="end"/>
            </w:r>
          </w:hyperlink>
        </w:p>
        <w:p w:rsidR="00A254D9" w:rsidRDefault="00AA156D" w:rsidP="00A254D9">
          <w:pPr>
            <w:pStyle w:val="11"/>
            <w:spacing w:line="240" w:lineRule="auto"/>
            <w:rPr>
              <w:noProof/>
            </w:rPr>
          </w:pPr>
          <w:hyperlink w:anchor="_Toc448145491" w:history="1">
            <w:r w:rsidR="00A254D9" w:rsidRPr="00233B28">
              <w:rPr>
                <w:rStyle w:val="a6"/>
                <w:noProof/>
              </w:rPr>
              <w:t>Сведения об обязательных нормативах</w:t>
            </w:r>
            <w:r w:rsidR="00A254D9">
              <w:rPr>
                <w:noProof/>
                <w:webHidden/>
              </w:rPr>
              <w:tab/>
            </w:r>
            <w:r w:rsidR="00A254D9">
              <w:rPr>
                <w:noProof/>
                <w:webHidden/>
              </w:rPr>
              <w:fldChar w:fldCharType="begin"/>
            </w:r>
            <w:r w:rsidR="00A254D9">
              <w:rPr>
                <w:noProof/>
                <w:webHidden/>
              </w:rPr>
              <w:instrText xml:space="preserve"> PAGEREF _Toc448145491 \h </w:instrText>
            </w:r>
            <w:r w:rsidR="00A254D9">
              <w:rPr>
                <w:noProof/>
                <w:webHidden/>
              </w:rPr>
            </w:r>
            <w:r w:rsidR="00A254D9">
              <w:rPr>
                <w:noProof/>
                <w:webHidden/>
              </w:rPr>
              <w:fldChar w:fldCharType="separate"/>
            </w:r>
            <w:r w:rsidR="005B174C">
              <w:rPr>
                <w:noProof/>
                <w:webHidden/>
              </w:rPr>
              <w:t>72</w:t>
            </w:r>
            <w:r w:rsidR="00A254D9">
              <w:rPr>
                <w:noProof/>
                <w:webHidden/>
              </w:rPr>
              <w:fldChar w:fldCharType="end"/>
            </w:r>
          </w:hyperlink>
        </w:p>
        <w:p w:rsidR="00A254D9" w:rsidRDefault="00AA156D" w:rsidP="00A254D9">
          <w:pPr>
            <w:pStyle w:val="11"/>
            <w:spacing w:line="240" w:lineRule="auto"/>
            <w:rPr>
              <w:noProof/>
            </w:rPr>
          </w:pPr>
          <w:hyperlink w:anchor="_Toc448145492" w:history="1">
            <w:r w:rsidR="00A254D9" w:rsidRPr="00233B28">
              <w:rPr>
                <w:rStyle w:val="a6"/>
                <w:noProof/>
              </w:rPr>
              <w:t>Отчет о движении денежных средств</w:t>
            </w:r>
            <w:r w:rsidR="00A254D9">
              <w:rPr>
                <w:noProof/>
                <w:webHidden/>
              </w:rPr>
              <w:tab/>
            </w:r>
            <w:r w:rsidR="00A254D9">
              <w:rPr>
                <w:noProof/>
                <w:webHidden/>
              </w:rPr>
              <w:fldChar w:fldCharType="begin"/>
            </w:r>
            <w:r w:rsidR="00A254D9">
              <w:rPr>
                <w:noProof/>
                <w:webHidden/>
              </w:rPr>
              <w:instrText xml:space="preserve"> PAGEREF _Toc448145492 \h </w:instrText>
            </w:r>
            <w:r w:rsidR="00A254D9">
              <w:rPr>
                <w:noProof/>
                <w:webHidden/>
              </w:rPr>
            </w:r>
            <w:r w:rsidR="00A254D9">
              <w:rPr>
                <w:noProof/>
                <w:webHidden/>
              </w:rPr>
              <w:fldChar w:fldCharType="separate"/>
            </w:r>
            <w:r w:rsidR="005B174C">
              <w:rPr>
                <w:noProof/>
                <w:webHidden/>
              </w:rPr>
              <w:t>75</w:t>
            </w:r>
            <w:r w:rsidR="00A254D9">
              <w:rPr>
                <w:noProof/>
                <w:webHidden/>
              </w:rPr>
              <w:fldChar w:fldCharType="end"/>
            </w:r>
          </w:hyperlink>
        </w:p>
        <w:p w:rsidR="00A254D9" w:rsidRDefault="00AA156D" w:rsidP="00A254D9">
          <w:pPr>
            <w:pStyle w:val="11"/>
            <w:spacing w:line="240" w:lineRule="auto"/>
            <w:rPr>
              <w:noProof/>
            </w:rPr>
          </w:pPr>
          <w:hyperlink w:anchor="_Toc448145493" w:history="1">
            <w:r w:rsidR="00A254D9" w:rsidRPr="00233B28">
              <w:rPr>
                <w:rStyle w:val="a6"/>
                <w:noProof/>
              </w:rPr>
              <w:t>Основные сведения об ПАО «ИнтехБанк»</w:t>
            </w:r>
            <w:r w:rsidR="00A254D9">
              <w:rPr>
                <w:noProof/>
                <w:webHidden/>
              </w:rPr>
              <w:tab/>
            </w:r>
            <w:r w:rsidR="00A254D9">
              <w:rPr>
                <w:noProof/>
                <w:webHidden/>
              </w:rPr>
              <w:fldChar w:fldCharType="begin"/>
            </w:r>
            <w:r w:rsidR="00A254D9">
              <w:rPr>
                <w:noProof/>
                <w:webHidden/>
              </w:rPr>
              <w:instrText xml:space="preserve"> PAGEREF _Toc448145493 \h </w:instrText>
            </w:r>
            <w:r w:rsidR="00A254D9">
              <w:rPr>
                <w:noProof/>
                <w:webHidden/>
              </w:rPr>
            </w:r>
            <w:r w:rsidR="00A254D9">
              <w:rPr>
                <w:noProof/>
                <w:webHidden/>
              </w:rPr>
              <w:fldChar w:fldCharType="separate"/>
            </w:r>
            <w:r w:rsidR="005B174C">
              <w:rPr>
                <w:noProof/>
                <w:webHidden/>
              </w:rPr>
              <w:t>77</w:t>
            </w:r>
            <w:r w:rsidR="00A254D9">
              <w:rPr>
                <w:noProof/>
                <w:webHidden/>
              </w:rPr>
              <w:fldChar w:fldCharType="end"/>
            </w:r>
          </w:hyperlink>
        </w:p>
        <w:p w:rsidR="00A254D9" w:rsidRDefault="00AA156D" w:rsidP="00A254D9">
          <w:pPr>
            <w:pStyle w:val="11"/>
            <w:spacing w:line="240" w:lineRule="auto"/>
            <w:rPr>
              <w:noProof/>
            </w:rPr>
          </w:pPr>
          <w:hyperlink w:anchor="_Toc448145494" w:history="1">
            <w:r w:rsidR="00A254D9" w:rsidRPr="00233B28">
              <w:rPr>
                <w:rStyle w:val="a6"/>
                <w:noProof/>
              </w:rPr>
              <w:t>Контактная информация</w:t>
            </w:r>
            <w:r w:rsidR="00A254D9">
              <w:rPr>
                <w:noProof/>
                <w:webHidden/>
              </w:rPr>
              <w:tab/>
            </w:r>
            <w:r w:rsidR="00A254D9">
              <w:rPr>
                <w:noProof/>
                <w:webHidden/>
              </w:rPr>
              <w:fldChar w:fldCharType="begin"/>
            </w:r>
            <w:r w:rsidR="00A254D9">
              <w:rPr>
                <w:noProof/>
                <w:webHidden/>
              </w:rPr>
              <w:instrText xml:space="preserve"> PAGEREF _Toc448145494 \h </w:instrText>
            </w:r>
            <w:r w:rsidR="00A254D9">
              <w:rPr>
                <w:noProof/>
                <w:webHidden/>
              </w:rPr>
            </w:r>
            <w:r w:rsidR="00A254D9">
              <w:rPr>
                <w:noProof/>
                <w:webHidden/>
              </w:rPr>
              <w:fldChar w:fldCharType="separate"/>
            </w:r>
            <w:r w:rsidR="005B174C">
              <w:rPr>
                <w:noProof/>
                <w:webHidden/>
              </w:rPr>
              <w:t>79</w:t>
            </w:r>
            <w:r w:rsidR="00A254D9">
              <w:rPr>
                <w:noProof/>
                <w:webHidden/>
              </w:rPr>
              <w:fldChar w:fldCharType="end"/>
            </w:r>
          </w:hyperlink>
        </w:p>
        <w:p w:rsidR="00134F25" w:rsidRPr="00A56B6B" w:rsidRDefault="00FD1683" w:rsidP="00A254D9">
          <w:pPr>
            <w:pStyle w:val="11"/>
            <w:tabs>
              <w:tab w:val="clear" w:pos="8505"/>
              <w:tab w:val="left" w:pos="7217"/>
            </w:tabs>
            <w:spacing w:line="240" w:lineRule="auto"/>
            <w:rPr>
              <w:rFonts w:ascii="Georgia" w:hAnsi="Georgia"/>
              <w:sz w:val="21"/>
              <w:szCs w:val="21"/>
            </w:rPr>
          </w:pPr>
          <w:r w:rsidRPr="00663BD9">
            <w:rPr>
              <w:rFonts w:ascii="Georgia" w:hAnsi="Georgia"/>
              <w:sz w:val="20"/>
              <w:szCs w:val="20"/>
            </w:rPr>
            <w:fldChar w:fldCharType="end"/>
          </w:r>
        </w:p>
      </w:sdtContent>
    </w:sdt>
    <w:p w:rsidR="00663BD9" w:rsidRPr="00663BD9" w:rsidRDefault="00663BD9" w:rsidP="00A6533B">
      <w:pPr>
        <w:pStyle w:val="1"/>
        <w:spacing w:before="0" w:line="240" w:lineRule="auto"/>
        <w:rPr>
          <w:noProof/>
          <w:color w:val="00B050"/>
          <w:sz w:val="20"/>
          <w:szCs w:val="20"/>
          <w:lang w:val="en-US"/>
        </w:rPr>
      </w:pPr>
    </w:p>
    <w:p w:rsidR="00A6533B" w:rsidRPr="00663BD9" w:rsidRDefault="00A6533B" w:rsidP="00A6533B">
      <w:pPr>
        <w:pStyle w:val="1"/>
        <w:spacing w:before="0" w:line="240" w:lineRule="auto"/>
        <w:rPr>
          <w:noProof/>
          <w:color w:val="00B050"/>
          <w:sz w:val="39"/>
          <w:szCs w:val="39"/>
        </w:rPr>
      </w:pPr>
      <w:bookmarkStart w:id="1" w:name="_Toc448145456"/>
      <w:r w:rsidRPr="00A6533B">
        <w:rPr>
          <w:noProof/>
          <w:color w:val="00B050"/>
          <w:sz w:val="39"/>
          <w:szCs w:val="39"/>
        </w:rPr>
        <w:t>Обращение Председателя Правления Банка</w:t>
      </w:r>
      <w:r w:rsidR="00663BD9" w:rsidRPr="00663BD9">
        <w:rPr>
          <w:noProof/>
          <w:color w:val="00B050"/>
          <w:sz w:val="39"/>
          <w:szCs w:val="39"/>
        </w:rPr>
        <w:t xml:space="preserve"> </w:t>
      </w:r>
      <w:r w:rsidR="00663BD9">
        <w:rPr>
          <w:noProof/>
          <w:color w:val="00B050"/>
          <w:sz w:val="39"/>
          <w:szCs w:val="39"/>
        </w:rPr>
        <w:t>и Председателя Совета директоров Банка</w:t>
      </w:r>
      <w:bookmarkEnd w:id="1"/>
    </w:p>
    <w:p w:rsidR="00A6533B" w:rsidRPr="00A6533B" w:rsidRDefault="00A6533B" w:rsidP="00A6533B">
      <w:pPr>
        <w:spacing w:after="0" w:line="240" w:lineRule="auto"/>
        <w:ind w:firstLine="709"/>
        <w:jc w:val="right"/>
        <w:rPr>
          <w:rFonts w:ascii="Cambria" w:hAnsi="Cambria"/>
          <w:b/>
          <w:color w:val="1F4E79"/>
          <w:sz w:val="28"/>
          <w:szCs w:val="26"/>
        </w:rPr>
      </w:pPr>
    </w:p>
    <w:p w:rsidR="00A6533B" w:rsidRPr="00A6533B" w:rsidRDefault="00A6533B" w:rsidP="00A6533B">
      <w:pPr>
        <w:ind w:firstLine="709"/>
        <w:jc w:val="right"/>
        <w:rPr>
          <w:rFonts w:ascii="Cambria" w:hAnsi="Cambria"/>
          <w:b/>
          <w:i/>
          <w:color w:val="1F497D" w:themeColor="text2"/>
          <w:sz w:val="26"/>
          <w:szCs w:val="26"/>
        </w:rPr>
      </w:pPr>
      <w:r w:rsidRPr="00A6533B">
        <w:rPr>
          <w:rFonts w:ascii="Cambria" w:hAnsi="Cambria"/>
          <w:b/>
          <w:i/>
          <w:color w:val="1F497D" w:themeColor="text2"/>
          <w:sz w:val="26"/>
          <w:szCs w:val="26"/>
        </w:rPr>
        <w:t>Уважаемые акционеры, члены совета директоров, наши партнеры, клиенты и коллеги!</w:t>
      </w:r>
    </w:p>
    <w:p w:rsidR="00663BD9" w:rsidRDefault="00663BD9" w:rsidP="00663BD9">
      <w:pPr>
        <w:spacing w:after="120" w:line="240" w:lineRule="auto"/>
        <w:jc w:val="both"/>
        <w:rPr>
          <w:rFonts w:ascii="Georgia" w:hAnsi="Georgia"/>
        </w:rPr>
      </w:pPr>
      <w:r>
        <w:rPr>
          <w:rFonts w:ascii="Georgia" w:hAnsi="Georgia"/>
        </w:rPr>
        <w:t xml:space="preserve">От имени </w:t>
      </w:r>
      <w:r w:rsidR="00611832">
        <w:rPr>
          <w:rFonts w:ascii="Georgia" w:hAnsi="Georgia"/>
        </w:rPr>
        <w:t xml:space="preserve">Правления и Совета директоров </w:t>
      </w:r>
      <w:r>
        <w:rPr>
          <w:rFonts w:ascii="Georgia" w:hAnsi="Georgia"/>
        </w:rPr>
        <w:t>ПАО «ИнтехБанк» позвольте представить Вашему вниманию годовой отчет по итогам деятельности в 2015</w:t>
      </w:r>
      <w:r w:rsidRPr="00663BD9">
        <w:rPr>
          <w:rFonts w:ascii="Georgia" w:hAnsi="Georgia"/>
        </w:rPr>
        <w:t xml:space="preserve"> году</w:t>
      </w:r>
    </w:p>
    <w:p w:rsidR="00663BD9" w:rsidRDefault="00663BD9" w:rsidP="00663BD9">
      <w:pPr>
        <w:spacing w:after="120" w:line="240" w:lineRule="auto"/>
        <w:jc w:val="both"/>
        <w:rPr>
          <w:rFonts w:ascii="Georgia" w:hAnsi="Georgia"/>
        </w:rPr>
      </w:pPr>
    </w:p>
    <w:p w:rsidR="00611832" w:rsidRPr="00611832" w:rsidRDefault="00611832" w:rsidP="00663BD9">
      <w:pPr>
        <w:spacing w:after="120" w:line="240" w:lineRule="auto"/>
        <w:jc w:val="both"/>
        <w:rPr>
          <w:rFonts w:ascii="Georgia" w:hAnsi="Georgia" w:cs="Arial"/>
          <w:sz w:val="10"/>
          <w:szCs w:val="10"/>
        </w:rPr>
      </w:pPr>
      <w:r w:rsidRPr="001C3AF1">
        <w:rPr>
          <w:rFonts w:ascii="Georgia" w:hAnsi="Georgia"/>
          <w:noProof/>
        </w:rPr>
        <w:drawing>
          <wp:anchor distT="0" distB="0" distL="114300" distR="114300" simplePos="0" relativeHeight="251803648" behindDoc="0" locked="0" layoutInCell="1" allowOverlap="1" wp14:anchorId="5C000366" wp14:editId="078F44FD">
            <wp:simplePos x="0" y="0"/>
            <wp:positionH relativeFrom="column">
              <wp:posOffset>361315</wp:posOffset>
            </wp:positionH>
            <wp:positionV relativeFrom="paragraph">
              <wp:posOffset>20955</wp:posOffset>
            </wp:positionV>
            <wp:extent cx="1710690" cy="2524125"/>
            <wp:effectExtent l="0" t="0" r="0" b="0"/>
            <wp:wrapSquare wrapText="bothSides"/>
            <wp:docPr id="3" name="Рисунок 21" descr="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М"/>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0690" cy="2524125"/>
                    </a:xfrm>
                    <a:prstGeom prst="rect">
                      <a:avLst/>
                    </a:prstGeom>
                    <a:noFill/>
                    <a:ln w="9525">
                      <a:noFill/>
                      <a:miter lim="800000"/>
                      <a:headEnd/>
                      <a:tailEnd/>
                    </a:ln>
                  </pic:spPr>
                </pic:pic>
              </a:graphicData>
            </a:graphic>
          </wp:anchor>
        </w:drawing>
      </w:r>
      <w:r>
        <w:rPr>
          <w:rFonts w:ascii="Georgia" w:hAnsi="Georgia" w:cs="Arial"/>
          <w:sz w:val="10"/>
          <w:szCs w:val="10"/>
        </w:rPr>
        <w:t xml:space="preserve">  </w:t>
      </w:r>
      <w:r w:rsidR="00663BD9">
        <w:rPr>
          <w:rFonts w:ascii="Georgia" w:hAnsi="Georgia"/>
        </w:rPr>
        <w:br w:type="textWrapping" w:clear="all"/>
      </w:r>
    </w:p>
    <w:p w:rsidR="00663BD9" w:rsidRPr="00A6533B" w:rsidRDefault="00611832" w:rsidP="00611832">
      <w:pPr>
        <w:tabs>
          <w:tab w:val="center" w:pos="4252"/>
        </w:tabs>
        <w:spacing w:after="120" w:line="240" w:lineRule="auto"/>
        <w:jc w:val="both"/>
        <w:rPr>
          <w:rFonts w:ascii="Georgia" w:hAnsi="Georgia" w:cs="Arial"/>
        </w:rPr>
      </w:pPr>
      <w:r>
        <w:rPr>
          <w:rFonts w:ascii="Georgia" w:hAnsi="Georgia" w:cs="Arial"/>
        </w:rPr>
        <w:t xml:space="preserve">    </w:t>
      </w:r>
      <w:r w:rsidR="00663BD9" w:rsidRPr="00A6533B">
        <w:rPr>
          <w:rFonts w:ascii="Georgia" w:hAnsi="Georgia" w:cs="Arial"/>
        </w:rPr>
        <w:t>Зарипов Марсель Рафаэльевич</w:t>
      </w:r>
      <w:r>
        <w:rPr>
          <w:rFonts w:ascii="Georgia" w:hAnsi="Georgia" w:cs="Arial"/>
        </w:rPr>
        <w:tab/>
        <w:t xml:space="preserve">                            Абдуллин </w:t>
      </w:r>
      <w:r w:rsidRPr="008B243D">
        <w:rPr>
          <w:rFonts w:ascii="Georgia" w:hAnsi="Georgia"/>
        </w:rPr>
        <w:t>Рустем Галимьянович</w:t>
      </w:r>
    </w:p>
    <w:p w:rsidR="00663BD9" w:rsidRDefault="00611832" w:rsidP="00663BD9">
      <w:pPr>
        <w:spacing w:after="0" w:line="240" w:lineRule="auto"/>
        <w:rPr>
          <w:rFonts w:ascii="Georgia" w:hAnsi="Georgia" w:cs="Arial"/>
        </w:rPr>
      </w:pPr>
      <w:r>
        <w:rPr>
          <w:rFonts w:ascii="Georgia" w:hAnsi="Georgia" w:cs="Arial"/>
        </w:rPr>
        <w:t xml:space="preserve">         </w:t>
      </w:r>
      <w:r w:rsidR="00663BD9" w:rsidRPr="00A6533B">
        <w:rPr>
          <w:rFonts w:ascii="Georgia" w:hAnsi="Georgia" w:cs="Arial"/>
        </w:rPr>
        <w:t xml:space="preserve">Председатель Правления </w:t>
      </w:r>
      <w:r>
        <w:rPr>
          <w:rFonts w:ascii="Georgia" w:hAnsi="Georgia" w:cs="Arial"/>
        </w:rPr>
        <w:t xml:space="preserve">                                </w:t>
      </w:r>
      <w:r w:rsidRPr="008B243D">
        <w:rPr>
          <w:rFonts w:ascii="Georgia" w:hAnsi="Georgia"/>
        </w:rPr>
        <w:t>Председатель Совета директоров</w:t>
      </w:r>
    </w:p>
    <w:p w:rsidR="00663BD9" w:rsidRPr="00134F25" w:rsidRDefault="00663BD9" w:rsidP="00663BD9">
      <w:pPr>
        <w:spacing w:after="0" w:line="240" w:lineRule="auto"/>
      </w:pPr>
    </w:p>
    <w:p w:rsidR="00A6533B" w:rsidRPr="00A6533B" w:rsidRDefault="00A6533B" w:rsidP="00A6533B">
      <w:pPr>
        <w:spacing w:after="120" w:line="240" w:lineRule="auto"/>
        <w:jc w:val="both"/>
        <w:rPr>
          <w:rFonts w:ascii="Georgia" w:hAnsi="Georgia"/>
        </w:rPr>
      </w:pPr>
      <w:r w:rsidRPr="00A6533B">
        <w:rPr>
          <w:rFonts w:ascii="Georgia" w:hAnsi="Georgia"/>
        </w:rPr>
        <w:t xml:space="preserve">Для всего банковского сообщества 2015 год был сложным и насыщенным. Непростые рыночные условия заставляли и нас принимать нестандартные решения, вносить коррективы в стратегию развития и политику по управлению рисками, оперативно </w:t>
      </w:r>
      <w:r w:rsidR="00B879D1">
        <w:rPr>
          <w:rFonts w:ascii="Georgia" w:hAnsi="Georgia"/>
        </w:rPr>
        <w:t>адаптировать продукты и услуги</w:t>
      </w:r>
      <w:r w:rsidRPr="00A6533B">
        <w:rPr>
          <w:rFonts w:ascii="Georgia" w:hAnsi="Georgia"/>
        </w:rPr>
        <w:t xml:space="preserve">. </w:t>
      </w:r>
      <w:r w:rsidR="00B879D1">
        <w:rPr>
          <w:rFonts w:ascii="Georgia" w:hAnsi="Georgia"/>
        </w:rPr>
        <w:t>При этом,</w:t>
      </w:r>
      <w:r w:rsidRPr="00A6533B">
        <w:rPr>
          <w:rFonts w:ascii="Georgia" w:hAnsi="Georgia"/>
        </w:rPr>
        <w:t xml:space="preserve"> Банк сумел доказать свою стабильность и надежность в качестве партнера, нарастил объем</w:t>
      </w:r>
      <w:r w:rsidR="00B879D1">
        <w:rPr>
          <w:rFonts w:ascii="Georgia" w:hAnsi="Georgia"/>
        </w:rPr>
        <w:t>ы бизнеса</w:t>
      </w:r>
      <w:r w:rsidRPr="00A6533B">
        <w:rPr>
          <w:rFonts w:ascii="Georgia" w:hAnsi="Georgia"/>
        </w:rPr>
        <w:t>, приумножил клиентскую базу как в розничном, так и в корпоративном сегментах.</w:t>
      </w:r>
    </w:p>
    <w:p w:rsidR="00A6533B" w:rsidRDefault="00A6533B" w:rsidP="00A6533B">
      <w:pPr>
        <w:spacing w:after="120" w:line="240" w:lineRule="auto"/>
        <w:jc w:val="both"/>
        <w:rPr>
          <w:rFonts w:ascii="Georgia" w:hAnsi="Georgia"/>
        </w:rPr>
      </w:pPr>
      <w:r w:rsidRPr="00A6533B">
        <w:rPr>
          <w:rFonts w:ascii="Georgia" w:hAnsi="Georgia"/>
        </w:rPr>
        <w:t>По итогам 2015 года ПАО «ИнтехБанк» занял 4 место по активам среди банков Республики Татарстан, и 146 место среди банков Российской Федерации. Устойчивый рост и развитие Банка – это результат совместной слаженной работы всех институтов: Совета директоров, акционеров, руководства Банка и команды банковских специалистов.</w:t>
      </w:r>
    </w:p>
    <w:p w:rsidR="00A6533B" w:rsidRPr="00A6533B" w:rsidRDefault="00A6533B" w:rsidP="00A6533B">
      <w:pPr>
        <w:spacing w:after="120" w:line="240" w:lineRule="auto"/>
        <w:jc w:val="both"/>
        <w:rPr>
          <w:rFonts w:ascii="Georgia" w:hAnsi="Georgia"/>
        </w:rPr>
      </w:pPr>
      <w:r w:rsidRPr="00A6533B">
        <w:rPr>
          <w:rFonts w:ascii="Georgia" w:hAnsi="Georgia"/>
        </w:rPr>
        <w:t>ПАО «ИнтехБанк» сегодня – это региональный банк, который предоставляет широкий спектр современных банковских услуг, а также показывает положительную динамику развития по всем ключевым показателям. Надежность ПАО «ИнтехБанк» подтверждается рейтинговыми аг</w:t>
      </w:r>
      <w:r w:rsidR="00B879D1">
        <w:rPr>
          <w:rFonts w:ascii="Georgia" w:hAnsi="Georgia"/>
        </w:rPr>
        <w:t>ентствами «Эксперт РА» и «АК&amp;М»</w:t>
      </w:r>
      <w:r w:rsidRPr="00A6533B">
        <w:rPr>
          <w:rFonts w:ascii="Georgia" w:hAnsi="Georgia"/>
        </w:rPr>
        <w:t>.</w:t>
      </w:r>
    </w:p>
    <w:p w:rsidR="00611832" w:rsidRDefault="00A6533B" w:rsidP="00A6533B">
      <w:pPr>
        <w:pStyle w:val="ab"/>
        <w:spacing w:before="0" w:beforeAutospacing="0" w:after="120" w:afterAutospacing="0"/>
        <w:jc w:val="both"/>
        <w:rPr>
          <w:rFonts w:ascii="Georgia" w:hAnsi="Georgia"/>
          <w:sz w:val="22"/>
          <w:szCs w:val="22"/>
        </w:rPr>
      </w:pPr>
      <w:r w:rsidRPr="00A6533B">
        <w:rPr>
          <w:rFonts w:ascii="Georgia" w:hAnsi="Georgia"/>
          <w:sz w:val="22"/>
          <w:szCs w:val="22"/>
        </w:rPr>
        <w:t xml:space="preserve">Итоги 2015 года можно охарактеризовать стабильной динамикой развития по основным показателям.  Рост по основным показателям деятельности стал подтверждением правильности выбранного курса, предусматривающий укрепление позиций по стратегически важным направлениям бизнеса. Чистые </w:t>
      </w:r>
    </w:p>
    <w:p w:rsidR="00611832" w:rsidRPr="00611832" w:rsidRDefault="00611832" w:rsidP="00A6533B">
      <w:pPr>
        <w:pStyle w:val="ab"/>
        <w:spacing w:before="0" w:beforeAutospacing="0" w:after="120" w:afterAutospacing="0"/>
        <w:jc w:val="both"/>
        <w:rPr>
          <w:rFonts w:ascii="Georgia" w:hAnsi="Georgia"/>
          <w:sz w:val="20"/>
          <w:szCs w:val="20"/>
        </w:rPr>
      </w:pPr>
    </w:p>
    <w:p w:rsidR="008D1EC4" w:rsidRPr="008D1EC4" w:rsidRDefault="008D1EC4" w:rsidP="00A6533B">
      <w:pPr>
        <w:pStyle w:val="ab"/>
        <w:spacing w:before="0" w:beforeAutospacing="0" w:after="120" w:afterAutospacing="0"/>
        <w:jc w:val="both"/>
        <w:rPr>
          <w:rFonts w:ascii="Georgia" w:hAnsi="Georgia"/>
          <w:sz w:val="20"/>
          <w:szCs w:val="20"/>
        </w:rPr>
      </w:pPr>
    </w:p>
    <w:p w:rsidR="001C3AF1" w:rsidRDefault="00A6533B" w:rsidP="00A6533B">
      <w:pPr>
        <w:pStyle w:val="ab"/>
        <w:spacing w:before="0" w:beforeAutospacing="0" w:after="120" w:afterAutospacing="0"/>
        <w:jc w:val="both"/>
        <w:rPr>
          <w:rFonts w:ascii="Georgia" w:hAnsi="Georgia"/>
          <w:sz w:val="22"/>
          <w:szCs w:val="22"/>
        </w:rPr>
      </w:pPr>
      <w:r w:rsidRPr="00A6533B">
        <w:rPr>
          <w:rFonts w:ascii="Georgia" w:hAnsi="Georgia"/>
          <w:sz w:val="22"/>
          <w:szCs w:val="22"/>
        </w:rPr>
        <w:t>активы выросли до 29,7 млрд. руб. или на 8,2%. Необходимо отметить</w:t>
      </w:r>
      <w:r w:rsidR="00B879D1">
        <w:rPr>
          <w:rFonts w:ascii="Georgia" w:hAnsi="Georgia"/>
          <w:sz w:val="22"/>
          <w:szCs w:val="22"/>
        </w:rPr>
        <w:t xml:space="preserve">, что </w:t>
      </w:r>
      <w:r w:rsidRPr="00A6533B">
        <w:rPr>
          <w:rFonts w:ascii="Georgia" w:hAnsi="Georgia"/>
          <w:sz w:val="22"/>
          <w:szCs w:val="22"/>
        </w:rPr>
        <w:t xml:space="preserve"> существенный рост </w:t>
      </w:r>
      <w:r w:rsidR="00A254D9">
        <w:rPr>
          <w:rFonts w:ascii="Georgia" w:hAnsi="Georgia"/>
          <w:sz w:val="22"/>
          <w:szCs w:val="22"/>
        </w:rPr>
        <w:t xml:space="preserve">продемонстрировал </w:t>
      </w:r>
      <w:r w:rsidRPr="00A6533B">
        <w:rPr>
          <w:rFonts w:ascii="Georgia" w:hAnsi="Georgia"/>
          <w:sz w:val="22"/>
          <w:szCs w:val="22"/>
        </w:rPr>
        <w:t>розничн</w:t>
      </w:r>
      <w:r w:rsidR="009303D9">
        <w:rPr>
          <w:rFonts w:ascii="Georgia" w:hAnsi="Georgia"/>
          <w:sz w:val="22"/>
          <w:szCs w:val="22"/>
        </w:rPr>
        <w:t xml:space="preserve">ый </w:t>
      </w:r>
      <w:r w:rsidRPr="00A6533B">
        <w:rPr>
          <w:rFonts w:ascii="Georgia" w:hAnsi="Georgia"/>
          <w:sz w:val="22"/>
          <w:szCs w:val="22"/>
        </w:rPr>
        <w:t>кредитн</w:t>
      </w:r>
      <w:r w:rsidR="009303D9">
        <w:rPr>
          <w:rFonts w:ascii="Georgia" w:hAnsi="Georgia"/>
          <w:sz w:val="22"/>
          <w:szCs w:val="22"/>
        </w:rPr>
        <w:t>ый</w:t>
      </w:r>
      <w:r w:rsidRPr="00A6533B">
        <w:rPr>
          <w:rFonts w:ascii="Georgia" w:hAnsi="Georgia"/>
          <w:sz w:val="22"/>
          <w:szCs w:val="22"/>
        </w:rPr>
        <w:t xml:space="preserve"> портфел</w:t>
      </w:r>
      <w:r w:rsidR="009303D9">
        <w:rPr>
          <w:rFonts w:ascii="Georgia" w:hAnsi="Georgia"/>
          <w:sz w:val="22"/>
          <w:szCs w:val="22"/>
        </w:rPr>
        <w:t>ь</w:t>
      </w:r>
      <w:r w:rsidRPr="00A6533B">
        <w:rPr>
          <w:rFonts w:ascii="Georgia" w:hAnsi="Georgia"/>
          <w:sz w:val="22"/>
          <w:szCs w:val="22"/>
        </w:rPr>
        <w:t xml:space="preserve"> Банка, который вырос в 2015 году на 77%, в том числе благодаря успешной реализации мероприятий по организации очередного облигационного займа с ипотечным покрытием совместно с АИЖК.</w:t>
      </w:r>
      <w:r w:rsidR="001C3AF1">
        <w:rPr>
          <w:rFonts w:ascii="Georgia" w:hAnsi="Georgia"/>
          <w:sz w:val="22"/>
          <w:szCs w:val="22"/>
        </w:rPr>
        <w:t xml:space="preserve"> </w:t>
      </w:r>
      <w:r w:rsidR="001C3AF1" w:rsidRPr="00583458">
        <w:rPr>
          <w:rFonts w:ascii="Georgia" w:hAnsi="Georgia"/>
        </w:rPr>
        <w:t>Банк уделяет внимание развитию своей сети, так в 2015 году был открыт филиал в городе Санкт-Петербурге.</w:t>
      </w:r>
    </w:p>
    <w:p w:rsidR="00A6533B" w:rsidRPr="00A6533B" w:rsidRDefault="00A6533B" w:rsidP="00A6533B">
      <w:pPr>
        <w:pStyle w:val="ab"/>
        <w:spacing w:before="0" w:beforeAutospacing="0" w:after="120" w:afterAutospacing="0"/>
        <w:jc w:val="both"/>
        <w:rPr>
          <w:rFonts w:ascii="Georgia" w:hAnsi="Georgia"/>
          <w:sz w:val="22"/>
          <w:szCs w:val="22"/>
        </w:rPr>
      </w:pPr>
      <w:r w:rsidRPr="00A6533B">
        <w:rPr>
          <w:rFonts w:ascii="Georgia" w:hAnsi="Georgia"/>
          <w:sz w:val="22"/>
          <w:szCs w:val="22"/>
        </w:rPr>
        <w:t xml:space="preserve">Все достигнутые Банком результаты во многом определяются взаимовыгодным сотрудничеством с клиентами и партнерами банка. Нашей главной ценностью являются наши клиенты: более 57 тыс. вкладчиков и 6,9 тыс. организаций. </w:t>
      </w:r>
    </w:p>
    <w:p w:rsidR="001C3AF1" w:rsidRDefault="00A6533B" w:rsidP="00A6533B">
      <w:pPr>
        <w:autoSpaceDE w:val="0"/>
        <w:autoSpaceDN w:val="0"/>
        <w:adjustRightInd w:val="0"/>
        <w:spacing w:after="120" w:line="240" w:lineRule="auto"/>
        <w:jc w:val="both"/>
        <w:rPr>
          <w:rFonts w:ascii="Georgia" w:hAnsi="Georgia"/>
        </w:rPr>
      </w:pPr>
      <w:r w:rsidRPr="00A6533B">
        <w:rPr>
          <w:rFonts w:ascii="Georgia" w:hAnsi="Georgia"/>
        </w:rPr>
        <w:t xml:space="preserve">Приоритетным в работе Банка остается построение долгосрочных взаимоотношений с клиентами и партнерами, стремление к взаимовыгодному сотрудничеству с акционерами, советом директоров и инвесторами. Мы выражаем самую искреннюю благодарность акционерам, партнерам и клиентам Банка за доверие, поддержку и плодотворное сотрудничество и надеемся, что в будущем году мы сможем также разделить с Вами наши успехи и принять самое активное участие в реализации намеченных планов. </w:t>
      </w:r>
    </w:p>
    <w:p w:rsidR="00A6533B" w:rsidRPr="00A6533B" w:rsidRDefault="00A6533B" w:rsidP="00A6533B">
      <w:pPr>
        <w:autoSpaceDE w:val="0"/>
        <w:autoSpaceDN w:val="0"/>
        <w:adjustRightInd w:val="0"/>
        <w:spacing w:after="120" w:line="240" w:lineRule="auto"/>
        <w:jc w:val="both"/>
        <w:rPr>
          <w:rFonts w:ascii="Georgia" w:hAnsi="Georgia"/>
        </w:rPr>
      </w:pPr>
      <w:r w:rsidRPr="00A6533B">
        <w:rPr>
          <w:rFonts w:ascii="Georgia" w:hAnsi="Georgia"/>
        </w:rPr>
        <w:t>Желаем Вам удачи, благополучия и удовлетворения от нашего долгосрочного сотрудничества!</w:t>
      </w:r>
    </w:p>
    <w:p w:rsidR="00A6533B" w:rsidRPr="00A6533B" w:rsidRDefault="00A6533B" w:rsidP="00A6533B">
      <w:pPr>
        <w:pStyle w:val="ab"/>
        <w:spacing w:before="0" w:beforeAutospacing="0" w:after="0" w:afterAutospacing="0"/>
        <w:ind w:firstLine="680"/>
        <w:jc w:val="both"/>
        <w:rPr>
          <w:rFonts w:ascii="Georgia" w:hAnsi="Georgia"/>
          <w:sz w:val="22"/>
          <w:szCs w:val="22"/>
        </w:rPr>
      </w:pPr>
    </w:p>
    <w:p w:rsidR="001C3AF1" w:rsidRDefault="001C3AF1">
      <w:pPr>
        <w:rPr>
          <w:rFonts w:asciiTheme="majorHAnsi" w:eastAsiaTheme="majorEastAsia" w:hAnsiTheme="majorHAnsi" w:cstheme="majorBidi"/>
          <w:b/>
          <w:bCs/>
          <w:noProof/>
          <w:color w:val="00B050"/>
          <w:sz w:val="20"/>
          <w:szCs w:val="20"/>
        </w:rPr>
      </w:pPr>
      <w:r>
        <w:rPr>
          <w:noProof/>
          <w:color w:val="00B050"/>
          <w:sz w:val="20"/>
          <w:szCs w:val="20"/>
        </w:rPr>
        <w:br w:type="page"/>
      </w:r>
    </w:p>
    <w:p w:rsidR="00B35E46" w:rsidRPr="00B35E46" w:rsidRDefault="00B35E46" w:rsidP="0095085E">
      <w:pPr>
        <w:pStyle w:val="1"/>
        <w:spacing w:before="0" w:line="240" w:lineRule="auto"/>
        <w:rPr>
          <w:noProof/>
          <w:color w:val="00B050"/>
          <w:sz w:val="20"/>
          <w:szCs w:val="20"/>
        </w:rPr>
      </w:pPr>
    </w:p>
    <w:p w:rsidR="00A6533B" w:rsidRPr="00F76D45" w:rsidRDefault="00A6533B" w:rsidP="00A6533B">
      <w:pPr>
        <w:pStyle w:val="1"/>
        <w:spacing w:before="0" w:line="240" w:lineRule="auto"/>
        <w:rPr>
          <w:noProof/>
          <w:color w:val="00B050"/>
          <w:sz w:val="40"/>
        </w:rPr>
      </w:pPr>
      <w:bookmarkStart w:id="2" w:name="_Toc448145457"/>
      <w:r w:rsidRPr="00F76D45">
        <w:rPr>
          <w:noProof/>
          <w:color w:val="00B050"/>
          <w:sz w:val="40"/>
        </w:rPr>
        <w:t>Ключевые показатели деятельности Банка в 201</w:t>
      </w:r>
      <w:r>
        <w:rPr>
          <w:noProof/>
          <w:color w:val="00B050"/>
          <w:sz w:val="40"/>
        </w:rPr>
        <w:t>5</w:t>
      </w:r>
      <w:r w:rsidRPr="00F76D45">
        <w:rPr>
          <w:noProof/>
          <w:color w:val="00B050"/>
          <w:sz w:val="40"/>
        </w:rPr>
        <w:t xml:space="preserve"> году</w:t>
      </w:r>
      <w:bookmarkEnd w:id="2"/>
    </w:p>
    <w:p w:rsidR="00A6533B" w:rsidRPr="00F76D45" w:rsidRDefault="00A6533B" w:rsidP="00A6533B">
      <w:pPr>
        <w:spacing w:after="0" w:line="240" w:lineRule="auto"/>
        <w:rPr>
          <w:rFonts w:asciiTheme="majorHAnsi" w:hAnsiTheme="majorHAnsi"/>
          <w:sz w:val="20"/>
          <w:szCs w:val="20"/>
        </w:rPr>
      </w:pPr>
    </w:p>
    <w:tbl>
      <w:tblPr>
        <w:tblW w:w="0" w:type="auto"/>
        <w:tblLook w:val="04A0" w:firstRow="1" w:lastRow="0" w:firstColumn="1" w:lastColumn="0" w:noHBand="0" w:noVBand="1"/>
      </w:tblPr>
      <w:tblGrid>
        <w:gridCol w:w="4360"/>
        <w:gridCol w:w="4360"/>
      </w:tblGrid>
      <w:tr w:rsidR="00A6533B" w:rsidTr="00A6533B">
        <w:tc>
          <w:tcPr>
            <w:tcW w:w="4360" w:type="dxa"/>
          </w:tcPr>
          <w:tbl>
            <w:tblPr>
              <w:tblpPr w:leftFromText="180" w:rightFromText="180" w:vertAnchor="text" w:horzAnchor="margin" w:tblpY="-31"/>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sidRPr="000047F3">
                    <w:rPr>
                      <w:rFonts w:ascii="Georgia" w:hAnsi="Georgia"/>
                      <w:noProof/>
                      <w:sz w:val="28"/>
                    </w:rPr>
                    <w:t>АКТИВЫ</w:t>
                  </w:r>
                  <w:r>
                    <w:rPr>
                      <w:rFonts w:ascii="Georgia" w:hAnsi="Georgia"/>
                      <w:noProof/>
                      <w:sz w:val="28"/>
                    </w:rPr>
                    <w:t>-НЕТТО</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8,2</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5" o:spid="_x0000_s1055" type="#_x0000_t68" style="position:absolute;margin-left:11.1pt;margin-top:.1pt;width:70.85pt;height:70.8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27 425</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29 668</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pPr>
          </w:p>
        </w:tc>
        <w:tc>
          <w:tcPr>
            <w:tcW w:w="4360" w:type="dxa"/>
          </w:tcPr>
          <w:tbl>
            <w:tblPr>
              <w:tblpPr w:leftFromText="180" w:rightFromText="180" w:vertAnchor="text" w:horzAnchor="margin" w:tblpXSpec="right"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sidRPr="000047F3">
                    <w:rPr>
                      <w:rFonts w:ascii="Georgia" w:hAnsi="Georgia"/>
                      <w:noProof/>
                      <w:sz w:val="28"/>
                    </w:rPr>
                    <w:t>СОБСТВЕННЫЕ СРЕДСТВА</w:t>
                  </w:r>
                  <w:r>
                    <w:rPr>
                      <w:rFonts w:ascii="Georgia" w:hAnsi="Georgia"/>
                      <w:noProof/>
                      <w:sz w:val="28"/>
                    </w:rPr>
                    <w:t>*</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25,7</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26" o:spid="_x0000_s1054" type="#_x0000_t68" style="position:absolute;margin-left:11.1pt;margin-top:.1pt;width:70.85pt;height:70.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3 051</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3 834</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jc w:val="right"/>
            </w:pPr>
          </w:p>
        </w:tc>
      </w:tr>
      <w:tr w:rsidR="00A6533B" w:rsidRPr="00333663" w:rsidTr="00A6533B">
        <w:tc>
          <w:tcPr>
            <w:tcW w:w="4360" w:type="dxa"/>
          </w:tcPr>
          <w:p w:rsidR="00A6533B" w:rsidRPr="00AE1AEA" w:rsidRDefault="00A6533B" w:rsidP="00A6533B">
            <w:pPr>
              <w:spacing w:after="0" w:line="240" w:lineRule="auto"/>
              <w:rPr>
                <w:rFonts w:ascii="Georgia" w:hAnsi="Georgia"/>
                <w:noProof/>
                <w:sz w:val="10"/>
                <w:szCs w:val="10"/>
              </w:rPr>
            </w:pPr>
          </w:p>
        </w:tc>
        <w:tc>
          <w:tcPr>
            <w:tcW w:w="4360" w:type="dxa"/>
          </w:tcPr>
          <w:p w:rsidR="00A6533B" w:rsidRPr="00AE1AEA" w:rsidRDefault="00A6533B" w:rsidP="00A6533B">
            <w:pPr>
              <w:spacing w:after="0" w:line="240" w:lineRule="auto"/>
              <w:rPr>
                <w:rFonts w:ascii="Georgia" w:hAnsi="Georgia"/>
                <w:noProof/>
                <w:sz w:val="10"/>
                <w:szCs w:val="10"/>
              </w:rPr>
            </w:pPr>
          </w:p>
        </w:tc>
      </w:tr>
      <w:tr w:rsidR="00A6533B" w:rsidTr="00A6533B">
        <w:tc>
          <w:tcPr>
            <w:tcW w:w="4360" w:type="dxa"/>
          </w:tcPr>
          <w:tbl>
            <w:tblPr>
              <w:tblpPr w:leftFromText="180" w:rightFromText="180" w:vertAnchor="text" w:horzAnchor="margin"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Pr>
                      <w:rFonts w:ascii="Georgia" w:hAnsi="Georgia"/>
                      <w:noProof/>
                      <w:sz w:val="28"/>
                    </w:rPr>
                    <w:t>КРЕДИТНЫЙ ПОРТФЕЛЬ**</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8,0</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27" o:spid="_x0000_s1053" type="#_x0000_t68" style="position:absolute;margin-left:11.1pt;margin-top:.1pt;width:70.85pt;height:70.8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20 302</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21 924</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pPr>
          </w:p>
        </w:tc>
        <w:tc>
          <w:tcPr>
            <w:tcW w:w="4360" w:type="dxa"/>
          </w:tcPr>
          <w:tbl>
            <w:tblPr>
              <w:tblpPr w:leftFromText="180" w:rightFromText="180" w:vertAnchor="text" w:horzAnchor="margin" w:tblpXSpec="right"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Pr>
                      <w:rFonts w:ascii="Georgia" w:hAnsi="Georgia"/>
                      <w:noProof/>
                      <w:sz w:val="28"/>
                    </w:rPr>
                    <w:t>СРЕДСТВА КЛИЕНТОВ</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25,2</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28" o:spid="_x0000_s1052" type="#_x0000_t68" style="position:absolute;margin-left:11.1pt;margin-top:.1pt;width:70.85pt;height:70.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18 513</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23 173</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jc w:val="right"/>
            </w:pPr>
          </w:p>
        </w:tc>
      </w:tr>
      <w:tr w:rsidR="00A6533B" w:rsidRPr="00AE1AEA" w:rsidTr="00A6533B">
        <w:tc>
          <w:tcPr>
            <w:tcW w:w="4360" w:type="dxa"/>
          </w:tcPr>
          <w:p w:rsidR="00A6533B" w:rsidRPr="00AE1AEA" w:rsidRDefault="00A6533B" w:rsidP="00A6533B">
            <w:pPr>
              <w:spacing w:after="0" w:line="240" w:lineRule="auto"/>
              <w:rPr>
                <w:rFonts w:ascii="Georgia" w:hAnsi="Georgia"/>
                <w:noProof/>
                <w:sz w:val="10"/>
                <w:szCs w:val="10"/>
              </w:rPr>
            </w:pPr>
          </w:p>
        </w:tc>
        <w:tc>
          <w:tcPr>
            <w:tcW w:w="4360" w:type="dxa"/>
          </w:tcPr>
          <w:p w:rsidR="00A6533B" w:rsidRPr="00AE1AEA" w:rsidRDefault="00A6533B" w:rsidP="00A6533B">
            <w:pPr>
              <w:spacing w:after="0" w:line="240" w:lineRule="auto"/>
              <w:rPr>
                <w:rFonts w:ascii="Georgia" w:hAnsi="Georgia"/>
                <w:noProof/>
                <w:sz w:val="10"/>
                <w:szCs w:val="10"/>
              </w:rPr>
            </w:pPr>
          </w:p>
        </w:tc>
      </w:tr>
      <w:tr w:rsidR="00A6533B" w:rsidTr="00A6533B">
        <w:tc>
          <w:tcPr>
            <w:tcW w:w="4360" w:type="dxa"/>
          </w:tcPr>
          <w:tbl>
            <w:tblPr>
              <w:tblpPr w:leftFromText="180" w:rightFromText="180" w:vertAnchor="text" w:horzAnchor="margin"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sidRPr="001456AF">
                    <w:rPr>
                      <w:rFonts w:ascii="Georgia" w:hAnsi="Georgia"/>
                      <w:noProof/>
                      <w:sz w:val="28"/>
                    </w:rPr>
                    <w:t>ЧИСТЫЕ ПРОЦЕНТНЫЕ ДОХОДЫ</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 xml:space="preserve">млн. </w:t>
                  </w:r>
                  <w:r w:rsidRPr="00686655">
                    <w:rPr>
                      <w:rFonts w:ascii="Georgia" w:hAnsi="Georgia"/>
                      <w:i/>
                      <w:noProof/>
                    </w:rPr>
                    <w:cr/>
                    <w:t>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27,3</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29" o:spid="_x0000_s1051" type="#_x0000_t68" style="position:absolute;margin-left:11.1pt;margin-top:.1pt;width:70.85pt;height:70.8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47"/>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469</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597</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pPr>
          </w:p>
        </w:tc>
        <w:tc>
          <w:tcPr>
            <w:tcW w:w="4360" w:type="dxa"/>
          </w:tcPr>
          <w:tbl>
            <w:tblPr>
              <w:tblpPr w:leftFromText="180" w:rightFromText="180" w:vertAnchor="text" w:horzAnchor="margin" w:tblpXSpec="right"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Pr>
                      <w:rFonts w:ascii="Georgia" w:hAnsi="Georgia"/>
                      <w:noProof/>
                      <w:sz w:val="28"/>
                    </w:rPr>
                    <w:t>ЧИСТЫЕ КОМИССИОННЫЕ ДОХОДЫ</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146</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30" o:spid="_x0000_s1050" type="#_x0000_t68" style="position:absolute;margin-left:11.1pt;margin-top:.1pt;width:70.85pt;height:70.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47"/>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106</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260</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jc w:val="right"/>
            </w:pPr>
          </w:p>
        </w:tc>
      </w:tr>
      <w:tr w:rsidR="00A6533B" w:rsidRPr="00333663" w:rsidTr="00A6533B">
        <w:tc>
          <w:tcPr>
            <w:tcW w:w="4360" w:type="dxa"/>
          </w:tcPr>
          <w:p w:rsidR="00A6533B" w:rsidRPr="00AE1AEA" w:rsidRDefault="00A6533B" w:rsidP="00A6533B">
            <w:pPr>
              <w:spacing w:after="0" w:line="240" w:lineRule="auto"/>
              <w:rPr>
                <w:rFonts w:ascii="Georgia" w:hAnsi="Georgia"/>
                <w:noProof/>
                <w:sz w:val="10"/>
                <w:szCs w:val="10"/>
              </w:rPr>
            </w:pPr>
          </w:p>
        </w:tc>
        <w:tc>
          <w:tcPr>
            <w:tcW w:w="4360" w:type="dxa"/>
          </w:tcPr>
          <w:p w:rsidR="00A6533B" w:rsidRPr="00AE1AEA" w:rsidRDefault="00A6533B" w:rsidP="00A6533B">
            <w:pPr>
              <w:spacing w:after="0" w:line="240" w:lineRule="auto"/>
              <w:rPr>
                <w:rFonts w:ascii="Georgia" w:hAnsi="Georgia"/>
                <w:noProof/>
                <w:sz w:val="10"/>
                <w:szCs w:val="10"/>
              </w:rPr>
            </w:pPr>
          </w:p>
        </w:tc>
      </w:tr>
      <w:tr w:rsidR="00A6533B" w:rsidTr="00A6533B">
        <w:tc>
          <w:tcPr>
            <w:tcW w:w="4360" w:type="dxa"/>
          </w:tcPr>
          <w:tbl>
            <w:tblPr>
              <w:tblpPr w:leftFromText="180" w:rightFromText="180" w:vertAnchor="text" w:horzAnchor="margin" w:tblpY="49"/>
              <w:tblOverlap w:val="never"/>
              <w:tblW w:w="0" w:type="auto"/>
              <w:tblCellMar>
                <w:left w:w="28" w:type="dxa"/>
                <w:right w:w="28" w:type="dxa"/>
              </w:tblCellMar>
              <w:tblLook w:val="04A0" w:firstRow="1" w:lastRow="0" w:firstColumn="1" w:lastColumn="0" w:noHBand="0" w:noVBand="1"/>
            </w:tblPr>
            <w:tblGrid>
              <w:gridCol w:w="312"/>
              <w:gridCol w:w="850"/>
              <w:gridCol w:w="1134"/>
              <w:gridCol w:w="1701"/>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Pr>
                      <w:rFonts w:ascii="Georgia" w:hAnsi="Georgia"/>
                      <w:noProof/>
                      <w:sz w:val="28"/>
                    </w:rPr>
                    <w:t>ОПЕРАЦИОННЫЙ ДОХОД</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1984" w:type="dxa"/>
                  <w:gridSpan w:val="2"/>
                  <w:vMerge w:val="restart"/>
                  <w:vAlign w:val="center"/>
                </w:tcPr>
                <w:p w:rsidR="00A6533B" w:rsidRPr="007E0948" w:rsidRDefault="00A6533B" w:rsidP="00A6533B">
                  <w:pPr>
                    <w:spacing w:after="0" w:line="240" w:lineRule="auto"/>
                    <w:rPr>
                      <w:rFonts w:ascii="Georgia" w:hAnsi="Georgia"/>
                      <w:b/>
                      <w:noProof/>
                      <w:sz w:val="60"/>
                      <w:szCs w:val="60"/>
                    </w:rPr>
                  </w:pPr>
                  <w:r>
                    <w:rPr>
                      <w:rFonts w:ascii="Georgia" w:hAnsi="Georgia"/>
                      <w:b/>
                      <w:noProof/>
                      <w:sz w:val="60"/>
                      <w:szCs w:val="60"/>
                    </w:rPr>
                    <w:t>22,7</w:t>
                  </w:r>
                  <w:r w:rsidRPr="007E0948">
                    <w:rPr>
                      <w:rFonts w:ascii="Georgia" w:hAnsi="Georgia"/>
                      <w:b/>
                      <w:noProof/>
                      <w:sz w:val="60"/>
                      <w:szCs w:val="60"/>
                    </w:rPr>
                    <w:t>%</w:t>
                  </w:r>
                </w:p>
              </w:tc>
              <w:tc>
                <w:tcPr>
                  <w:tcW w:w="1701" w:type="dxa"/>
                </w:tcPr>
                <w:p w:rsidR="00A6533B" w:rsidRPr="00F35B6F" w:rsidRDefault="00AA156D" w:rsidP="00A6533B">
                  <w:pPr>
                    <w:spacing w:after="0" w:line="240" w:lineRule="auto"/>
                    <w:rPr>
                      <w:rFonts w:ascii="Georgia" w:hAnsi="Georgia"/>
                      <w:noProof/>
                      <w:sz w:val="28"/>
                    </w:rPr>
                  </w:pPr>
                  <w:r>
                    <w:rPr>
                      <w:noProof/>
                    </w:rPr>
                    <w:pict>
                      <v:shape id="AutoShape 31" o:spid="_x0000_s1049" type="#_x0000_t68" style="position:absolute;margin-left:11.1pt;margin-top:.1pt;width:70.85pt;height:70.8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" adj="10640,3857" fillcolor="#00b050" strokecolor="#00b05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1984" w:type="dxa"/>
                  <w:gridSpan w:val="2"/>
                  <w:vMerge/>
                </w:tcPr>
                <w:p w:rsidR="00A6533B" w:rsidRPr="00F35B6F" w:rsidRDefault="00A6533B" w:rsidP="00A6533B">
                  <w:pPr>
                    <w:spacing w:after="0" w:line="240" w:lineRule="auto"/>
                    <w:rPr>
                      <w:rFonts w:ascii="Georgia" w:hAnsi="Georgia"/>
                      <w:noProof/>
                      <w:sz w:val="28"/>
                    </w:rPr>
                  </w:pP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134"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889</w:t>
                  </w:r>
                </w:p>
              </w:tc>
              <w:tc>
                <w:tcPr>
                  <w:tcW w:w="1701"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134" w:type="dxa"/>
                  <w:tcBorders>
                    <w:top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1 090</w:t>
                  </w:r>
                </w:p>
              </w:tc>
              <w:tc>
                <w:tcPr>
                  <w:tcW w:w="1701"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134"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701"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tabs>
                <w:tab w:val="left" w:pos="0"/>
              </w:tabs>
              <w:spacing w:before="120" w:after="0" w:line="240" w:lineRule="auto"/>
              <w:jc w:val="both"/>
              <w:rPr>
                <w:rFonts w:ascii="Georgia" w:hAnsi="Georgia" w:cs="Tahoma"/>
                <w:i/>
                <w:sz w:val="16"/>
                <w:szCs w:val="16"/>
              </w:rPr>
            </w:pPr>
            <w:r w:rsidRPr="00A604FE">
              <w:rPr>
                <w:rFonts w:ascii="Georgia" w:hAnsi="Georgia"/>
                <w:noProof/>
                <w:sz w:val="16"/>
                <w:szCs w:val="16"/>
              </w:rPr>
              <w:drawing>
                <wp:anchor distT="0" distB="0" distL="114300" distR="114300" simplePos="0" relativeHeight="251798528" behindDoc="1" locked="0" layoutInCell="1" allowOverlap="1" wp14:anchorId="7296A4E9" wp14:editId="18416B12">
                  <wp:simplePos x="0" y="0"/>
                  <wp:positionH relativeFrom="margin">
                    <wp:posOffset>4380865</wp:posOffset>
                  </wp:positionH>
                  <wp:positionV relativeFrom="paragraph">
                    <wp:posOffset>9323070</wp:posOffset>
                  </wp:positionV>
                  <wp:extent cx="1085850" cy="431800"/>
                  <wp:effectExtent l="19050" t="0" r="0" b="0"/>
                  <wp:wrapNone/>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573" t="5579" r="1437" b="3665"/>
                          <a:stretch>
                            <a:fillRect/>
                          </a:stretch>
                        </pic:blipFill>
                        <pic:spPr bwMode="auto">
                          <a:xfrm>
                            <a:off x="0" y="0"/>
                            <a:ext cx="1085850" cy="431800"/>
                          </a:xfrm>
                          <a:prstGeom prst="rect">
                            <a:avLst/>
                          </a:prstGeom>
                          <a:noFill/>
                          <a:ln w="9525">
                            <a:noFill/>
                            <a:miter lim="800000"/>
                            <a:headEnd/>
                            <a:tailEnd/>
                          </a:ln>
                        </pic:spPr>
                      </pic:pic>
                    </a:graphicData>
                  </a:graphic>
                </wp:anchor>
              </w:drawing>
            </w:r>
            <w:r w:rsidRPr="00A604FE">
              <w:rPr>
                <w:rFonts w:ascii="Georgia" w:hAnsi="Georgia" w:cs="Tahoma"/>
                <w:i/>
                <w:sz w:val="16"/>
                <w:szCs w:val="16"/>
              </w:rPr>
              <w:t xml:space="preserve">*Согласно Положению Банка России </w:t>
            </w:r>
            <w:r w:rsidRPr="00A6731D">
              <w:rPr>
                <w:rFonts w:ascii="Georgia" w:hAnsi="Georgia" w:cs="Tahoma"/>
                <w:i/>
                <w:sz w:val="16"/>
                <w:szCs w:val="16"/>
              </w:rPr>
              <w:t xml:space="preserve">№395-П </w:t>
            </w:r>
          </w:p>
          <w:p w:rsidR="00A6533B" w:rsidRDefault="00A6533B" w:rsidP="00A6533B">
            <w:pPr>
              <w:tabs>
                <w:tab w:val="left" w:pos="0"/>
              </w:tabs>
              <w:spacing w:before="120" w:after="0" w:line="240" w:lineRule="auto"/>
              <w:jc w:val="both"/>
            </w:pPr>
            <w:r w:rsidRPr="00A604FE">
              <w:rPr>
                <w:rFonts w:ascii="Georgia" w:hAnsi="Georgia" w:cs="Tahoma"/>
                <w:i/>
                <w:sz w:val="16"/>
                <w:szCs w:val="16"/>
              </w:rPr>
              <w:t>** Чистая ссудная задолженность</w:t>
            </w:r>
          </w:p>
        </w:tc>
        <w:tc>
          <w:tcPr>
            <w:tcW w:w="4360" w:type="dxa"/>
          </w:tcPr>
          <w:tbl>
            <w:tblPr>
              <w:tblpPr w:leftFromText="180" w:rightFromText="180" w:vertAnchor="text" w:horzAnchor="margin" w:tblpXSpec="right" w:tblpY="49"/>
              <w:tblOverlap w:val="never"/>
              <w:tblW w:w="0" w:type="auto"/>
              <w:tblCellMar>
                <w:left w:w="28" w:type="dxa"/>
                <w:right w:w="28" w:type="dxa"/>
              </w:tblCellMar>
              <w:tblLook w:val="04A0" w:firstRow="1" w:lastRow="0" w:firstColumn="1" w:lastColumn="0" w:noHBand="0" w:noVBand="1"/>
            </w:tblPr>
            <w:tblGrid>
              <w:gridCol w:w="312"/>
              <w:gridCol w:w="850"/>
              <w:gridCol w:w="1248"/>
              <w:gridCol w:w="1587"/>
            </w:tblGrid>
            <w:tr w:rsidR="00A6533B" w:rsidRPr="000047F3" w:rsidTr="00A6533B">
              <w:tc>
                <w:tcPr>
                  <w:tcW w:w="3997" w:type="dxa"/>
                  <w:gridSpan w:val="4"/>
                  <w:tcBorders>
                    <w:bottom w:val="single" w:sz="18" w:space="0" w:color="00B050"/>
                  </w:tcBorders>
                </w:tcPr>
                <w:p w:rsidR="00A6533B" w:rsidRPr="000047F3" w:rsidRDefault="00A6533B" w:rsidP="00A6533B">
                  <w:pPr>
                    <w:spacing w:before="120" w:after="120" w:line="240" w:lineRule="auto"/>
                    <w:rPr>
                      <w:rFonts w:ascii="Georgia" w:hAnsi="Georgia"/>
                      <w:noProof/>
                      <w:sz w:val="28"/>
                    </w:rPr>
                  </w:pPr>
                  <w:r>
                    <w:rPr>
                      <w:rFonts w:ascii="Georgia" w:hAnsi="Georgia"/>
                      <w:noProof/>
                      <w:sz w:val="28"/>
                    </w:rPr>
                    <w:t>ЧИСТАЯ ПРИБЫЛЬ</w:t>
                  </w:r>
                </w:p>
              </w:tc>
            </w:tr>
            <w:tr w:rsidR="00A6533B" w:rsidRPr="00686655" w:rsidTr="00A6533B">
              <w:tc>
                <w:tcPr>
                  <w:tcW w:w="312" w:type="dxa"/>
                  <w:vMerge w:val="restart"/>
                  <w:tcBorders>
                    <w:top w:val="single" w:sz="18" w:space="0" w:color="00B050"/>
                  </w:tcBorders>
                </w:tcPr>
                <w:p w:rsidR="00A6533B" w:rsidRPr="00686655" w:rsidRDefault="00A6533B" w:rsidP="00A6533B">
                  <w:pPr>
                    <w:spacing w:before="120" w:after="0" w:line="240" w:lineRule="auto"/>
                    <w:rPr>
                      <w:rFonts w:ascii="Georgia" w:hAnsi="Georgia"/>
                      <w:i/>
                      <w:noProof/>
                    </w:rPr>
                  </w:pPr>
                </w:p>
              </w:tc>
              <w:tc>
                <w:tcPr>
                  <w:tcW w:w="3685" w:type="dxa"/>
                  <w:gridSpan w:val="3"/>
                  <w:tcBorders>
                    <w:top w:val="single" w:sz="18" w:space="0" w:color="00B050"/>
                  </w:tcBorders>
                </w:tcPr>
                <w:p w:rsidR="00A6533B" w:rsidRPr="00686655" w:rsidRDefault="00A6533B" w:rsidP="00A6533B">
                  <w:pPr>
                    <w:spacing w:before="120" w:after="0" w:line="240" w:lineRule="auto"/>
                    <w:rPr>
                      <w:rFonts w:ascii="Georgia" w:hAnsi="Georgia"/>
                      <w:i/>
                      <w:noProof/>
                    </w:rPr>
                  </w:pPr>
                  <w:r w:rsidRPr="00686655">
                    <w:rPr>
                      <w:rFonts w:ascii="Georgia" w:hAnsi="Georgia"/>
                      <w:i/>
                      <w:noProof/>
                    </w:rPr>
                    <w:t>млн. руб.</w:t>
                  </w:r>
                </w:p>
              </w:tc>
            </w:tr>
            <w:tr w:rsidR="00A6533B" w:rsidRPr="00F35B6F" w:rsidTr="00A6533B">
              <w:tc>
                <w:tcPr>
                  <w:tcW w:w="312" w:type="dxa"/>
                  <w:vMerge/>
                </w:tcPr>
                <w:p w:rsidR="00A6533B" w:rsidRPr="00686655" w:rsidRDefault="00A6533B" w:rsidP="00A6533B">
                  <w:pPr>
                    <w:spacing w:after="0" w:line="240" w:lineRule="auto"/>
                    <w:rPr>
                      <w:rFonts w:ascii="Georgia" w:hAnsi="Georgia"/>
                      <w:b/>
                      <w:noProof/>
                      <w:color w:val="00B050"/>
                      <w:sz w:val="60"/>
                      <w:szCs w:val="60"/>
                    </w:rPr>
                  </w:pPr>
                </w:p>
              </w:tc>
              <w:tc>
                <w:tcPr>
                  <w:tcW w:w="2098" w:type="dxa"/>
                  <w:gridSpan w:val="2"/>
                  <w:vMerge w:val="restart"/>
                  <w:vAlign w:val="center"/>
                </w:tcPr>
                <w:p w:rsidR="00A6533B" w:rsidRPr="007E0948" w:rsidRDefault="00A6533B" w:rsidP="00A6533B">
                  <w:pPr>
                    <w:spacing w:after="0" w:line="240" w:lineRule="auto"/>
                    <w:rPr>
                      <w:rFonts w:ascii="Georgia" w:hAnsi="Georgia"/>
                      <w:b/>
                      <w:noProof/>
                      <w:sz w:val="60"/>
                      <w:szCs w:val="60"/>
                    </w:rPr>
                  </w:pPr>
                </w:p>
              </w:tc>
              <w:tc>
                <w:tcPr>
                  <w:tcW w:w="1587" w:type="dxa"/>
                </w:tcPr>
                <w:p w:rsidR="00A6533B" w:rsidRPr="00F35B6F" w:rsidRDefault="00AA156D" w:rsidP="00A6533B">
                  <w:pPr>
                    <w:spacing w:after="0" w:line="240" w:lineRule="auto"/>
                    <w:rPr>
                      <w:rFonts w:ascii="Georgia" w:hAnsi="Georgia"/>
                      <w:noProof/>
                      <w:sz w:val="28"/>
                    </w:rPr>
                  </w:pPr>
                  <w:r>
                    <w:rPr>
                      <w:noProof/>
                    </w:rPr>
                    <w:pict>
                      <v:shape id="AutoShape 32" o:spid="_x0000_s1048" type="#_x0000_t68" style="position:absolute;margin-left:11.1pt;margin-top:.1pt;width:70.85pt;height:70.85pt;rotation:18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" adj="10640,3857" fillcolor="#c00000" strokecolor="#c00000" strokeweight="1.5pt">
                        <v:fill color2="white [3212]" rotate="t" focus="100%" type="gradient"/>
                      </v:shape>
                    </w:pict>
                  </w:r>
                </w:p>
              </w:tc>
            </w:tr>
            <w:tr w:rsidR="00A6533B" w:rsidRPr="00F35B6F" w:rsidTr="00A6533B">
              <w:tc>
                <w:tcPr>
                  <w:tcW w:w="312" w:type="dxa"/>
                  <w:vMerge/>
                </w:tcPr>
                <w:p w:rsidR="00A6533B" w:rsidRPr="00F35B6F" w:rsidRDefault="00A6533B" w:rsidP="00A6533B">
                  <w:pPr>
                    <w:spacing w:after="0" w:line="240" w:lineRule="auto"/>
                    <w:rPr>
                      <w:rFonts w:ascii="Georgia" w:hAnsi="Georgia"/>
                      <w:noProof/>
                      <w:sz w:val="28"/>
                    </w:rPr>
                  </w:pPr>
                </w:p>
              </w:tc>
              <w:tc>
                <w:tcPr>
                  <w:tcW w:w="2098" w:type="dxa"/>
                  <w:gridSpan w:val="2"/>
                  <w:vMerge/>
                </w:tcPr>
                <w:p w:rsidR="00A6533B" w:rsidRPr="00F35B6F" w:rsidRDefault="00A6533B" w:rsidP="00A6533B">
                  <w:pPr>
                    <w:spacing w:after="0" w:line="240" w:lineRule="auto"/>
                    <w:rPr>
                      <w:rFonts w:ascii="Georgia" w:hAnsi="Georgia"/>
                      <w:noProof/>
                      <w:sz w:val="28"/>
                    </w:rPr>
                  </w:pPr>
                </w:p>
              </w:tc>
              <w:tc>
                <w:tcPr>
                  <w:tcW w:w="1587" w:type="dxa"/>
                </w:tcPr>
                <w:p w:rsidR="00A6533B" w:rsidRPr="00F35B6F" w:rsidRDefault="00A6533B" w:rsidP="00A6533B">
                  <w:pPr>
                    <w:spacing w:after="0" w:line="240" w:lineRule="auto"/>
                    <w:rPr>
                      <w:rFonts w:ascii="Georgia" w:hAnsi="Georgia"/>
                      <w:noProof/>
                      <w:sz w:val="28"/>
                    </w:rPr>
                  </w:pPr>
                </w:p>
              </w:tc>
            </w:tr>
            <w:tr w:rsidR="00A6533B" w:rsidRPr="00F35B6F" w:rsidTr="00A6533B">
              <w:trPr>
                <w:trHeight w:val="454"/>
              </w:trPr>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bottom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2014</w:t>
                  </w:r>
                </w:p>
              </w:tc>
              <w:tc>
                <w:tcPr>
                  <w:tcW w:w="1248" w:type="dxa"/>
                  <w:tcBorders>
                    <w:bottom w:val="single" w:sz="12" w:space="0" w:color="595959" w:themeColor="text1" w:themeTint="A6"/>
                  </w:tcBorders>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147</w:t>
                  </w:r>
                </w:p>
              </w:tc>
              <w:tc>
                <w:tcPr>
                  <w:tcW w:w="1587" w:type="dxa"/>
                </w:tcPr>
                <w:p w:rsidR="00A6533B" w:rsidRPr="00F35B6F" w:rsidRDefault="00A6533B" w:rsidP="00A6533B">
                  <w:pPr>
                    <w:spacing w:after="0" w:line="240" w:lineRule="auto"/>
                    <w:rPr>
                      <w:rFonts w:ascii="Georgia" w:hAnsi="Georgia"/>
                      <w:noProof/>
                      <w:sz w:val="28"/>
                    </w:rPr>
                  </w:pPr>
                </w:p>
              </w:tc>
            </w:tr>
            <w:tr w:rsidR="00A6533B" w:rsidRPr="00F35B6F" w:rsidTr="00A6533B">
              <w:tc>
                <w:tcPr>
                  <w:tcW w:w="312" w:type="dxa"/>
                  <w:vMerge/>
                </w:tcPr>
                <w:p w:rsidR="00A6533B" w:rsidRPr="00686655" w:rsidRDefault="00A6533B" w:rsidP="00A6533B">
                  <w:pPr>
                    <w:spacing w:after="0" w:line="240" w:lineRule="auto"/>
                    <w:rPr>
                      <w:rFonts w:ascii="Georgia" w:hAnsi="Georgia"/>
                      <w:noProof/>
                      <w:sz w:val="32"/>
                    </w:rPr>
                  </w:pPr>
                </w:p>
              </w:tc>
              <w:tc>
                <w:tcPr>
                  <w:tcW w:w="850" w:type="dxa"/>
                  <w:tcBorders>
                    <w:top w:val="single" w:sz="12" w:space="0" w:color="595959" w:themeColor="text1" w:themeTint="A6"/>
                  </w:tcBorders>
                </w:tcPr>
                <w:p w:rsidR="00A6533B" w:rsidRPr="00686655" w:rsidRDefault="00A6533B" w:rsidP="00A6533B">
                  <w:pPr>
                    <w:spacing w:after="0" w:line="240" w:lineRule="auto"/>
                    <w:rPr>
                      <w:rFonts w:ascii="Georgia" w:hAnsi="Georgia"/>
                      <w:noProof/>
                      <w:sz w:val="32"/>
                    </w:rPr>
                  </w:pPr>
                  <w:r>
                    <w:rPr>
                      <w:rFonts w:ascii="Georgia" w:hAnsi="Georgia"/>
                      <w:noProof/>
                      <w:sz w:val="32"/>
                    </w:rPr>
                    <w:t>2015</w:t>
                  </w:r>
                </w:p>
              </w:tc>
              <w:tc>
                <w:tcPr>
                  <w:tcW w:w="1248" w:type="dxa"/>
                  <w:tcBorders>
                    <w:top w:val="single" w:sz="12" w:space="0" w:color="595959" w:themeColor="text1" w:themeTint="A6"/>
                  </w:tcBorders>
                  <w:shd w:val="clear" w:color="auto" w:fill="auto"/>
                </w:tcPr>
                <w:p w:rsidR="00A6533B" w:rsidRPr="00686655" w:rsidRDefault="00A6533B" w:rsidP="00A6533B">
                  <w:pPr>
                    <w:spacing w:after="0" w:line="240" w:lineRule="auto"/>
                    <w:jc w:val="right"/>
                    <w:rPr>
                      <w:rFonts w:ascii="Georgia" w:hAnsi="Georgia"/>
                      <w:noProof/>
                      <w:sz w:val="32"/>
                    </w:rPr>
                  </w:pPr>
                  <w:r>
                    <w:rPr>
                      <w:rFonts w:ascii="Georgia" w:hAnsi="Georgia"/>
                      <w:noProof/>
                      <w:sz w:val="32"/>
                    </w:rPr>
                    <w:t>-564</w:t>
                  </w:r>
                </w:p>
              </w:tc>
              <w:tc>
                <w:tcPr>
                  <w:tcW w:w="1587" w:type="dxa"/>
                </w:tcPr>
                <w:p w:rsidR="00A6533B" w:rsidRPr="00F35B6F" w:rsidRDefault="00A6533B" w:rsidP="00A6533B">
                  <w:pPr>
                    <w:spacing w:after="0" w:line="240" w:lineRule="auto"/>
                    <w:rPr>
                      <w:rFonts w:ascii="Georgia" w:hAnsi="Georgia"/>
                      <w:noProof/>
                      <w:sz w:val="28"/>
                    </w:rPr>
                  </w:pPr>
                </w:p>
              </w:tc>
            </w:tr>
            <w:tr w:rsidR="00A6533B" w:rsidRPr="00686655" w:rsidTr="00A6533B">
              <w:tc>
                <w:tcPr>
                  <w:tcW w:w="312" w:type="dxa"/>
                  <w:vMerge/>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850" w:type="dxa"/>
                  <w:tcBorders>
                    <w:bottom w:val="single" w:sz="36" w:space="0" w:color="00B050"/>
                  </w:tcBorders>
                </w:tcPr>
                <w:p w:rsidR="00A6533B" w:rsidRPr="00AE1AEA" w:rsidRDefault="00A6533B" w:rsidP="00A6533B">
                  <w:pPr>
                    <w:spacing w:after="0" w:line="240" w:lineRule="auto"/>
                    <w:rPr>
                      <w:rFonts w:ascii="Georgia" w:hAnsi="Georgia"/>
                      <w:noProof/>
                      <w:sz w:val="10"/>
                      <w:szCs w:val="10"/>
                    </w:rPr>
                  </w:pPr>
                </w:p>
              </w:tc>
              <w:tc>
                <w:tcPr>
                  <w:tcW w:w="1248"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c>
                <w:tcPr>
                  <w:tcW w:w="1587" w:type="dxa"/>
                  <w:tcBorders>
                    <w:bottom w:val="single" w:sz="36" w:space="0" w:color="00B050"/>
                  </w:tcBorders>
                </w:tcPr>
                <w:p w:rsidR="00A6533B" w:rsidRPr="00686655" w:rsidRDefault="00A6533B" w:rsidP="00A6533B">
                  <w:pPr>
                    <w:spacing w:after="0" w:line="240" w:lineRule="auto"/>
                    <w:rPr>
                      <w:rFonts w:ascii="Georgia" w:hAnsi="Georgia"/>
                      <w:noProof/>
                      <w:sz w:val="14"/>
                      <w:szCs w:val="14"/>
                    </w:rPr>
                  </w:pPr>
                </w:p>
              </w:tc>
            </w:tr>
          </w:tbl>
          <w:p w:rsidR="00A6533B" w:rsidRDefault="00A6533B" w:rsidP="00A6533B">
            <w:pPr>
              <w:spacing w:after="0" w:line="240" w:lineRule="auto"/>
              <w:jc w:val="right"/>
            </w:pPr>
            <w:r>
              <w:rPr>
                <w:noProof/>
              </w:rPr>
              <w:drawing>
                <wp:anchor distT="0" distB="0" distL="114300" distR="114300" simplePos="0" relativeHeight="251789312" behindDoc="0" locked="0" layoutInCell="1" allowOverlap="1" wp14:anchorId="20B53EB9" wp14:editId="643406FD">
                  <wp:simplePos x="0" y="0"/>
                  <wp:positionH relativeFrom="margin">
                    <wp:posOffset>1605915</wp:posOffset>
                  </wp:positionH>
                  <wp:positionV relativeFrom="paragraph">
                    <wp:posOffset>9323070</wp:posOffset>
                  </wp:positionV>
                  <wp:extent cx="1085850" cy="431800"/>
                  <wp:effectExtent l="19050" t="0" r="0" b="0"/>
                  <wp:wrapNone/>
                  <wp:docPr id="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573" t="5579" r="1437" b="3665"/>
                          <a:stretch>
                            <a:fillRect/>
                          </a:stretch>
                        </pic:blipFill>
                        <pic:spPr bwMode="auto">
                          <a:xfrm>
                            <a:off x="0" y="0"/>
                            <a:ext cx="1085850" cy="431800"/>
                          </a:xfrm>
                          <a:prstGeom prst="rect">
                            <a:avLst/>
                          </a:prstGeom>
                          <a:noFill/>
                          <a:ln w="9525">
                            <a:noFill/>
                            <a:miter lim="800000"/>
                            <a:headEnd/>
                            <a:tailEnd/>
                          </a:ln>
                        </pic:spPr>
                      </pic:pic>
                    </a:graphicData>
                  </a:graphic>
                </wp:anchor>
              </w:drawing>
            </w:r>
          </w:p>
        </w:tc>
      </w:tr>
    </w:tbl>
    <w:p w:rsidR="00A56B6B" w:rsidRPr="00A56B6B" w:rsidRDefault="00A56B6B" w:rsidP="00A6533B">
      <w:pPr>
        <w:pStyle w:val="1"/>
        <w:spacing w:before="0" w:line="240" w:lineRule="auto"/>
        <w:rPr>
          <w:noProof/>
          <w:color w:val="00B050"/>
          <w:sz w:val="20"/>
          <w:szCs w:val="20"/>
        </w:rPr>
      </w:pPr>
    </w:p>
    <w:p w:rsidR="00A6533B" w:rsidRPr="00F76D45" w:rsidRDefault="00A6533B" w:rsidP="00A6533B">
      <w:pPr>
        <w:pStyle w:val="1"/>
        <w:spacing w:before="0" w:line="240" w:lineRule="auto"/>
        <w:rPr>
          <w:noProof/>
          <w:color w:val="00B050"/>
          <w:sz w:val="40"/>
        </w:rPr>
      </w:pPr>
      <w:bookmarkStart w:id="3" w:name="_Toc448145458"/>
      <w:r w:rsidRPr="00F76D45">
        <w:rPr>
          <w:noProof/>
          <w:color w:val="00B050"/>
          <w:sz w:val="40"/>
        </w:rPr>
        <w:t xml:space="preserve">Показатели эффективности развития Банка в </w:t>
      </w:r>
      <w:r>
        <w:rPr>
          <w:noProof/>
          <w:color w:val="00B050"/>
          <w:sz w:val="40"/>
        </w:rPr>
        <w:t>2013-</w:t>
      </w:r>
      <w:r w:rsidRPr="00F76D45">
        <w:rPr>
          <w:noProof/>
          <w:color w:val="00B050"/>
          <w:sz w:val="40"/>
        </w:rPr>
        <w:t>201</w:t>
      </w:r>
      <w:r>
        <w:rPr>
          <w:noProof/>
          <w:color w:val="00B050"/>
          <w:sz w:val="40"/>
        </w:rPr>
        <w:t>5</w:t>
      </w:r>
      <w:r w:rsidRPr="00F76D45">
        <w:rPr>
          <w:noProof/>
          <w:color w:val="00B050"/>
          <w:sz w:val="40"/>
        </w:rPr>
        <w:t xml:space="preserve"> г</w:t>
      </w:r>
      <w:r>
        <w:rPr>
          <w:noProof/>
          <w:color w:val="00B050"/>
          <w:sz w:val="40"/>
        </w:rPr>
        <w:t>г.</w:t>
      </w:r>
      <w:bookmarkEnd w:id="3"/>
    </w:p>
    <w:p w:rsidR="00A6533B" w:rsidRPr="003249EF" w:rsidRDefault="009A2C34" w:rsidP="00A6533B">
      <w:pPr>
        <w:pStyle w:val="1"/>
        <w:spacing w:before="0" w:line="240" w:lineRule="auto"/>
        <w:rPr>
          <w:noProof/>
          <w:color w:val="00B050"/>
          <w:sz w:val="20"/>
          <w:szCs w:val="20"/>
        </w:rPr>
      </w:pPr>
      <w:bookmarkStart w:id="4" w:name="_Toc447867730"/>
      <w:bookmarkStart w:id="5" w:name="_Toc447872738"/>
      <w:bookmarkStart w:id="6" w:name="_Toc447910662"/>
      <w:bookmarkStart w:id="7" w:name="_Toc448143877"/>
      <w:bookmarkStart w:id="8" w:name="_Toc448145459"/>
      <w:r w:rsidRPr="009A2C34">
        <w:rPr>
          <w:noProof/>
        </w:rPr>
        <w:drawing>
          <wp:inline distT="0" distB="0" distL="0" distR="0" wp14:anchorId="3AFCF233" wp14:editId="14E463A6">
            <wp:extent cx="6156251" cy="1541721"/>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4"/>
      <w:bookmarkEnd w:id="5"/>
      <w:bookmarkEnd w:id="6"/>
      <w:bookmarkEnd w:id="7"/>
      <w:bookmarkEnd w:id="8"/>
    </w:p>
    <w:p w:rsidR="00A6533B" w:rsidRDefault="009A2C34" w:rsidP="00A6533B">
      <w:pPr>
        <w:pStyle w:val="1"/>
        <w:spacing w:before="0" w:line="240" w:lineRule="auto"/>
        <w:rPr>
          <w:rFonts w:ascii="Georgia" w:hAnsi="Georgia"/>
        </w:rPr>
      </w:pPr>
      <w:bookmarkStart w:id="9" w:name="_Toc447867731"/>
      <w:bookmarkStart w:id="10" w:name="_Toc447872739"/>
      <w:bookmarkStart w:id="11" w:name="_Toc447910663"/>
      <w:bookmarkStart w:id="12" w:name="_Toc448143878"/>
      <w:bookmarkStart w:id="13" w:name="_Toc448145460"/>
      <w:r w:rsidRPr="009A2C34">
        <w:rPr>
          <w:noProof/>
        </w:rPr>
        <w:drawing>
          <wp:inline distT="0" distB="0" distL="0" distR="0" wp14:anchorId="18CF97F8" wp14:editId="6F05D590">
            <wp:extent cx="6198781" cy="1520456"/>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9"/>
      <w:bookmarkEnd w:id="10"/>
      <w:bookmarkEnd w:id="11"/>
      <w:bookmarkEnd w:id="12"/>
      <w:bookmarkEnd w:id="13"/>
    </w:p>
    <w:p w:rsidR="00A6533B" w:rsidRDefault="00A6533B" w:rsidP="00A6533B">
      <w:pPr>
        <w:pStyle w:val="1"/>
        <w:spacing w:before="0" w:line="240" w:lineRule="auto"/>
        <w:rPr>
          <w:rFonts w:ascii="Georgia" w:hAnsi="Georgia"/>
        </w:rPr>
      </w:pPr>
      <w:bookmarkStart w:id="14" w:name="_Toc447867732"/>
      <w:bookmarkStart w:id="15" w:name="_Toc447872740"/>
      <w:bookmarkStart w:id="16" w:name="_Toc447910664"/>
      <w:bookmarkStart w:id="17" w:name="_Toc448143879"/>
      <w:bookmarkStart w:id="18" w:name="_Toc448145461"/>
      <w:r>
        <w:rPr>
          <w:noProof/>
        </w:rPr>
        <w:drawing>
          <wp:inline distT="0" distB="0" distL="0" distR="0" wp14:anchorId="4DDEF8A9" wp14:editId="7DF65544">
            <wp:extent cx="5915025" cy="17526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14"/>
      <w:bookmarkEnd w:id="15"/>
      <w:bookmarkEnd w:id="16"/>
      <w:bookmarkEnd w:id="17"/>
      <w:bookmarkEnd w:id="18"/>
    </w:p>
    <w:p w:rsidR="00A6533B" w:rsidRPr="00F76D45" w:rsidRDefault="00A6533B" w:rsidP="00A6533B">
      <w:pPr>
        <w:pStyle w:val="1"/>
        <w:spacing w:before="0" w:line="240" w:lineRule="auto"/>
        <w:rPr>
          <w:rFonts w:ascii="Georgia" w:hAnsi="Georgia"/>
        </w:rPr>
      </w:pPr>
      <w:bookmarkStart w:id="19" w:name="_Toc447867733"/>
      <w:bookmarkStart w:id="20" w:name="_Toc447872741"/>
      <w:bookmarkStart w:id="21" w:name="_Toc447910665"/>
      <w:bookmarkStart w:id="22" w:name="_Toc448143880"/>
      <w:bookmarkStart w:id="23" w:name="_Toc448145462"/>
      <w:r>
        <w:rPr>
          <w:noProof/>
        </w:rPr>
        <w:drawing>
          <wp:inline distT="0" distB="0" distL="0" distR="0" wp14:anchorId="6E3204CA" wp14:editId="0FEEB997">
            <wp:extent cx="5991225" cy="1571625"/>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19"/>
      <w:bookmarkEnd w:id="20"/>
      <w:bookmarkEnd w:id="21"/>
      <w:bookmarkEnd w:id="22"/>
      <w:bookmarkEnd w:id="23"/>
    </w:p>
    <w:p w:rsidR="0069173C" w:rsidRDefault="00DE4863" w:rsidP="0069173C">
      <w:pPr>
        <w:pStyle w:val="1"/>
        <w:spacing w:before="0" w:line="240" w:lineRule="auto"/>
        <w:jc w:val="both"/>
        <w:rPr>
          <w:noProof/>
          <w:color w:val="00B050"/>
          <w:sz w:val="20"/>
          <w:szCs w:val="20"/>
        </w:rPr>
      </w:pPr>
      <w:bookmarkStart w:id="24" w:name="_Toc447867734"/>
      <w:bookmarkStart w:id="25" w:name="_Toc447872742"/>
      <w:bookmarkStart w:id="26" w:name="_Toc447910666"/>
      <w:bookmarkStart w:id="27" w:name="_Toc448143881"/>
      <w:bookmarkStart w:id="28" w:name="_Toc448145463"/>
      <w:r>
        <w:rPr>
          <w:noProof/>
        </w:rPr>
        <w:drawing>
          <wp:inline distT="0" distB="0" distL="0" distR="0" wp14:anchorId="5452813D" wp14:editId="7C34E184">
            <wp:extent cx="5400040" cy="1580293"/>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24"/>
      <w:bookmarkEnd w:id="25"/>
      <w:bookmarkEnd w:id="26"/>
      <w:bookmarkEnd w:id="27"/>
      <w:bookmarkEnd w:id="28"/>
    </w:p>
    <w:p w:rsidR="00DE4863" w:rsidRPr="00961F0F" w:rsidRDefault="00DE4863" w:rsidP="00DE4863">
      <w:pPr>
        <w:pStyle w:val="1"/>
        <w:spacing w:before="0" w:line="240" w:lineRule="auto"/>
        <w:jc w:val="both"/>
        <w:rPr>
          <w:noProof/>
          <w:color w:val="00B050"/>
          <w:sz w:val="20"/>
          <w:szCs w:val="20"/>
        </w:rPr>
      </w:pPr>
    </w:p>
    <w:p w:rsidR="00961F0F" w:rsidRDefault="00961F0F" w:rsidP="00961F0F">
      <w:pPr>
        <w:pStyle w:val="1"/>
        <w:spacing w:before="0" w:line="240" w:lineRule="auto"/>
        <w:ind w:firstLine="708"/>
        <w:jc w:val="both"/>
        <w:rPr>
          <w:noProof/>
          <w:color w:val="00B050"/>
          <w:sz w:val="20"/>
          <w:szCs w:val="20"/>
        </w:rPr>
      </w:pPr>
    </w:p>
    <w:p w:rsidR="009A2C34" w:rsidRPr="009A2C34" w:rsidRDefault="009A2C34" w:rsidP="009A2C34"/>
    <w:p w:rsidR="00374BD0" w:rsidRPr="00374BD0" w:rsidRDefault="00374BD0" w:rsidP="00DE4863">
      <w:pPr>
        <w:pStyle w:val="1"/>
        <w:spacing w:before="0" w:line="240" w:lineRule="auto"/>
        <w:jc w:val="both"/>
        <w:rPr>
          <w:noProof/>
          <w:color w:val="00B050"/>
          <w:sz w:val="20"/>
          <w:szCs w:val="20"/>
        </w:rPr>
      </w:pPr>
    </w:p>
    <w:p w:rsidR="00DE4863" w:rsidRPr="00F76D45" w:rsidRDefault="00DE4863" w:rsidP="00DE4863">
      <w:pPr>
        <w:pStyle w:val="1"/>
        <w:spacing w:before="0" w:line="240" w:lineRule="auto"/>
        <w:jc w:val="both"/>
        <w:rPr>
          <w:noProof/>
          <w:color w:val="00B050"/>
          <w:sz w:val="40"/>
          <w:szCs w:val="40"/>
        </w:rPr>
      </w:pPr>
      <w:bookmarkStart w:id="29" w:name="_Toc448145464"/>
      <w:r w:rsidRPr="00F76D45">
        <w:rPr>
          <w:noProof/>
          <w:color w:val="00B050"/>
          <w:sz w:val="40"/>
          <w:szCs w:val="40"/>
        </w:rPr>
        <w:t>Место Банка на рынке финансовых услуг</w:t>
      </w:r>
      <w:bookmarkEnd w:id="29"/>
    </w:p>
    <w:p w:rsidR="00DE4863" w:rsidRDefault="00DE4863" w:rsidP="00DE4863">
      <w:pPr>
        <w:pStyle w:val="1"/>
        <w:spacing w:before="0" w:line="240" w:lineRule="auto"/>
        <w:rPr>
          <w:noProof/>
          <w:color w:val="00B050"/>
          <w:sz w:val="20"/>
          <w:szCs w:val="20"/>
        </w:rPr>
      </w:pPr>
    </w:p>
    <w:p w:rsidR="00DE4863" w:rsidRPr="00EA3847" w:rsidRDefault="00DE4863" w:rsidP="00DE4863">
      <w:pPr>
        <w:pStyle w:val="text"/>
        <w:spacing w:after="120"/>
        <w:jc w:val="both"/>
        <w:rPr>
          <w:rFonts w:ascii="Georgia" w:eastAsiaTheme="minorHAnsi" w:hAnsi="Georgia" w:cstheme="minorBidi"/>
          <w:sz w:val="24"/>
          <w:szCs w:val="24"/>
          <w:lang w:eastAsia="en-US"/>
        </w:rPr>
      </w:pPr>
      <w:r w:rsidRPr="00EA3847">
        <w:rPr>
          <w:rFonts w:ascii="Georgia" w:eastAsiaTheme="minorHAnsi" w:hAnsi="Georgia" w:cstheme="minorBidi"/>
          <w:sz w:val="24"/>
          <w:szCs w:val="24"/>
          <w:lang w:eastAsia="en-US"/>
        </w:rPr>
        <w:t xml:space="preserve">Темп роста показателя </w:t>
      </w:r>
      <w:r>
        <w:rPr>
          <w:rFonts w:ascii="Georgia" w:eastAsiaTheme="minorHAnsi" w:hAnsi="Georgia" w:cstheme="minorBidi"/>
          <w:b/>
          <w:i/>
          <w:sz w:val="24"/>
          <w:szCs w:val="24"/>
          <w:lang w:eastAsia="en-US"/>
        </w:rPr>
        <w:t>а</w:t>
      </w:r>
      <w:r w:rsidRPr="00223729">
        <w:rPr>
          <w:rFonts w:ascii="Georgia" w:eastAsiaTheme="minorHAnsi" w:hAnsi="Georgia" w:cstheme="minorBidi"/>
          <w:b/>
          <w:i/>
          <w:sz w:val="24"/>
          <w:szCs w:val="24"/>
          <w:lang w:eastAsia="en-US"/>
        </w:rPr>
        <w:t>ктивы-нетто</w:t>
      </w:r>
      <w:r w:rsidRPr="00EA3847">
        <w:rPr>
          <w:rFonts w:ascii="Georgia" w:eastAsiaTheme="minorHAnsi" w:hAnsi="Georgia" w:cstheme="minorBidi"/>
          <w:sz w:val="24"/>
          <w:szCs w:val="24"/>
          <w:lang w:eastAsia="en-US"/>
        </w:rPr>
        <w:t xml:space="preserve"> </w:t>
      </w:r>
      <w:r>
        <w:rPr>
          <w:rFonts w:ascii="Georgia" w:eastAsiaTheme="minorHAnsi" w:hAnsi="Georgia" w:cstheme="minorBidi"/>
          <w:sz w:val="24"/>
          <w:szCs w:val="24"/>
          <w:lang w:eastAsia="en-US"/>
        </w:rPr>
        <w:t>П</w:t>
      </w:r>
      <w:r w:rsidRPr="00EA3847">
        <w:rPr>
          <w:rFonts w:ascii="Georgia" w:eastAsiaTheme="minorHAnsi" w:hAnsi="Georgia" w:cstheme="minorBidi"/>
          <w:sz w:val="24"/>
          <w:szCs w:val="24"/>
          <w:lang w:eastAsia="en-US"/>
        </w:rPr>
        <w:t>АО «ИнтехБанк» в 201</w:t>
      </w:r>
      <w:r>
        <w:rPr>
          <w:rFonts w:ascii="Georgia" w:eastAsiaTheme="minorHAnsi" w:hAnsi="Georgia" w:cstheme="minorBidi"/>
          <w:sz w:val="24"/>
          <w:szCs w:val="24"/>
          <w:lang w:eastAsia="en-US"/>
        </w:rPr>
        <w:t>5</w:t>
      </w:r>
      <w:r w:rsidRPr="00EA3847">
        <w:rPr>
          <w:rFonts w:ascii="Georgia" w:eastAsiaTheme="minorHAnsi" w:hAnsi="Georgia" w:cstheme="minorBidi"/>
          <w:sz w:val="24"/>
          <w:szCs w:val="24"/>
          <w:lang w:eastAsia="en-US"/>
        </w:rPr>
        <w:t xml:space="preserve"> году опережает темп роста активов банковского сектора Республики Татарстан (</w:t>
      </w:r>
      <w:r>
        <w:rPr>
          <w:rFonts w:ascii="Georgia" w:eastAsiaTheme="minorHAnsi" w:hAnsi="Georgia" w:cstheme="minorBidi"/>
          <w:sz w:val="24"/>
          <w:szCs w:val="24"/>
          <w:lang w:eastAsia="en-US"/>
        </w:rPr>
        <w:t>11,5</w:t>
      </w:r>
      <w:r w:rsidRPr="00EA3847">
        <w:rPr>
          <w:rFonts w:ascii="Georgia" w:eastAsiaTheme="minorHAnsi" w:hAnsi="Georgia" w:cstheme="minorBidi"/>
          <w:sz w:val="24"/>
          <w:szCs w:val="24"/>
          <w:lang w:eastAsia="en-US"/>
        </w:rPr>
        <w:t xml:space="preserve">% против </w:t>
      </w:r>
      <w:r>
        <w:rPr>
          <w:rFonts w:ascii="Georgia" w:eastAsiaTheme="minorHAnsi" w:hAnsi="Georgia" w:cstheme="minorBidi"/>
          <w:sz w:val="24"/>
          <w:szCs w:val="24"/>
          <w:lang w:eastAsia="en-US"/>
        </w:rPr>
        <w:t>9,8</w:t>
      </w:r>
      <w:r w:rsidRPr="00EA3847">
        <w:rPr>
          <w:rFonts w:ascii="Georgia" w:eastAsiaTheme="minorHAnsi" w:hAnsi="Georgia" w:cstheme="minorBidi"/>
          <w:sz w:val="24"/>
          <w:szCs w:val="24"/>
          <w:lang w:eastAsia="en-US"/>
        </w:rPr>
        <w:t>%)</w:t>
      </w:r>
      <w:r>
        <w:rPr>
          <w:rStyle w:val="af2"/>
          <w:rFonts w:ascii="Georgia" w:eastAsiaTheme="minorHAnsi" w:hAnsi="Georgia" w:cstheme="minorBidi"/>
          <w:sz w:val="24"/>
          <w:szCs w:val="24"/>
          <w:lang w:eastAsia="en-US"/>
        </w:rPr>
        <w:footnoteReference w:id="1"/>
      </w:r>
      <w:r w:rsidRPr="00EA3847">
        <w:rPr>
          <w:rFonts w:ascii="Georgia" w:eastAsiaTheme="minorHAnsi" w:hAnsi="Georgia" w:cstheme="minorBidi"/>
          <w:sz w:val="24"/>
          <w:szCs w:val="24"/>
          <w:lang w:eastAsia="en-US"/>
        </w:rPr>
        <w:t>. По состоянию на 01.01.201</w:t>
      </w:r>
      <w:r>
        <w:rPr>
          <w:rFonts w:ascii="Georgia" w:eastAsiaTheme="minorHAnsi" w:hAnsi="Georgia" w:cstheme="minorBidi"/>
          <w:sz w:val="24"/>
          <w:szCs w:val="24"/>
          <w:lang w:eastAsia="en-US"/>
        </w:rPr>
        <w:t>6</w:t>
      </w:r>
      <w:r w:rsidRPr="00EA3847">
        <w:rPr>
          <w:rFonts w:ascii="Georgia" w:eastAsiaTheme="minorHAnsi" w:hAnsi="Georgia" w:cstheme="minorBidi"/>
          <w:sz w:val="24"/>
          <w:szCs w:val="24"/>
          <w:lang w:eastAsia="en-US"/>
        </w:rPr>
        <w:t xml:space="preserve"> г. </w:t>
      </w:r>
      <w:r>
        <w:rPr>
          <w:rFonts w:ascii="Georgia" w:eastAsiaTheme="minorHAnsi" w:hAnsi="Georgia" w:cstheme="minorBidi"/>
          <w:sz w:val="24"/>
          <w:szCs w:val="24"/>
          <w:lang w:eastAsia="en-US"/>
        </w:rPr>
        <w:t>П</w:t>
      </w:r>
      <w:r w:rsidRPr="00EA3847">
        <w:rPr>
          <w:rFonts w:ascii="Georgia" w:eastAsiaTheme="minorHAnsi" w:hAnsi="Georgia" w:cstheme="minorBidi"/>
          <w:sz w:val="24"/>
          <w:szCs w:val="24"/>
          <w:lang w:eastAsia="en-US"/>
        </w:rPr>
        <w:t xml:space="preserve">АО «ИнтехБанк» занимает </w:t>
      </w:r>
      <w:r w:rsidRPr="00EC5DBD">
        <w:rPr>
          <w:rFonts w:ascii="Georgia" w:eastAsiaTheme="minorHAnsi" w:hAnsi="Georgia" w:cstheme="minorBidi"/>
          <w:b/>
          <w:color w:val="00B050"/>
          <w:sz w:val="24"/>
          <w:szCs w:val="24"/>
          <w:lang w:eastAsia="en-US"/>
        </w:rPr>
        <w:t>4-е место</w:t>
      </w:r>
      <w:r w:rsidRPr="00EA3847">
        <w:rPr>
          <w:rFonts w:ascii="Georgia" w:eastAsiaTheme="minorHAnsi" w:hAnsi="Georgia" w:cstheme="minorBidi"/>
          <w:sz w:val="24"/>
          <w:szCs w:val="24"/>
          <w:lang w:eastAsia="en-US"/>
        </w:rPr>
        <w:t xml:space="preserve"> по данному показателю среди кредитных учреждений РТ.</w:t>
      </w:r>
    </w:p>
    <w:p w:rsidR="00DE4863" w:rsidRPr="00EA3847" w:rsidRDefault="00DE4863" w:rsidP="00DE4863">
      <w:pPr>
        <w:tabs>
          <w:tab w:val="left" w:pos="567"/>
        </w:tabs>
        <w:autoSpaceDE w:val="0"/>
        <w:autoSpaceDN w:val="0"/>
        <w:spacing w:after="120" w:line="240" w:lineRule="auto"/>
        <w:jc w:val="both"/>
        <w:rPr>
          <w:rFonts w:ascii="Georgia" w:hAnsi="Georgia"/>
          <w:sz w:val="24"/>
          <w:szCs w:val="24"/>
        </w:rPr>
      </w:pPr>
      <w:r>
        <w:rPr>
          <w:rFonts w:ascii="Georgia" w:hAnsi="Georgia"/>
          <w:sz w:val="24"/>
          <w:szCs w:val="24"/>
        </w:rPr>
        <w:t>П</w:t>
      </w:r>
      <w:r w:rsidRPr="00EA3847">
        <w:rPr>
          <w:rFonts w:ascii="Georgia" w:hAnsi="Georgia"/>
          <w:sz w:val="24"/>
          <w:szCs w:val="24"/>
        </w:rPr>
        <w:t>АО «ИнтехБанк» входит в 200 крупнейших банков РФ по основным показателям деятельности. В частности, согласно рэнкингу Интерфакс-100 по состоянию на 01.01.201</w:t>
      </w:r>
      <w:r>
        <w:rPr>
          <w:rFonts w:ascii="Georgia" w:hAnsi="Georgia"/>
          <w:sz w:val="24"/>
          <w:szCs w:val="24"/>
        </w:rPr>
        <w:t>6</w:t>
      </w:r>
      <w:r w:rsidRPr="00EA3847">
        <w:rPr>
          <w:rFonts w:ascii="Georgia" w:hAnsi="Georgia"/>
          <w:sz w:val="24"/>
          <w:szCs w:val="24"/>
        </w:rPr>
        <w:t xml:space="preserve"> г., </w:t>
      </w:r>
      <w:r>
        <w:rPr>
          <w:rFonts w:ascii="Georgia" w:hAnsi="Georgia"/>
          <w:sz w:val="24"/>
          <w:szCs w:val="24"/>
        </w:rPr>
        <w:t>П</w:t>
      </w:r>
      <w:r w:rsidRPr="00EA3847">
        <w:rPr>
          <w:rFonts w:ascii="Georgia" w:hAnsi="Georgia"/>
          <w:sz w:val="24"/>
          <w:szCs w:val="24"/>
        </w:rPr>
        <w:t xml:space="preserve">АО «ИнтехБанк» занимает </w:t>
      </w:r>
      <w:r w:rsidRPr="00EC5DBD">
        <w:rPr>
          <w:rFonts w:ascii="Georgia" w:hAnsi="Georgia"/>
          <w:b/>
          <w:color w:val="00B050"/>
          <w:sz w:val="24"/>
          <w:szCs w:val="24"/>
        </w:rPr>
        <w:t>1</w:t>
      </w:r>
      <w:r>
        <w:rPr>
          <w:rFonts w:ascii="Georgia" w:hAnsi="Georgia"/>
          <w:b/>
          <w:color w:val="00B050"/>
          <w:sz w:val="24"/>
          <w:szCs w:val="24"/>
        </w:rPr>
        <w:t>98</w:t>
      </w:r>
      <w:r w:rsidRPr="00EC5DBD">
        <w:rPr>
          <w:rFonts w:ascii="Georgia" w:hAnsi="Georgia"/>
          <w:b/>
          <w:color w:val="00B050"/>
          <w:sz w:val="24"/>
          <w:szCs w:val="24"/>
        </w:rPr>
        <w:t>-е место</w:t>
      </w:r>
      <w:r w:rsidRPr="00EA3847">
        <w:rPr>
          <w:rFonts w:ascii="Georgia" w:hAnsi="Georgia"/>
          <w:sz w:val="24"/>
          <w:szCs w:val="24"/>
        </w:rPr>
        <w:t xml:space="preserve"> по размеру </w:t>
      </w:r>
      <w:r w:rsidRPr="00223729">
        <w:rPr>
          <w:rFonts w:ascii="Georgia" w:hAnsi="Georgia"/>
          <w:b/>
          <w:i/>
          <w:sz w:val="24"/>
          <w:szCs w:val="24"/>
        </w:rPr>
        <w:t>собственного капитала</w:t>
      </w:r>
      <w:r w:rsidRPr="00EA3847">
        <w:rPr>
          <w:rFonts w:ascii="Georgia" w:hAnsi="Georgia"/>
          <w:sz w:val="24"/>
          <w:szCs w:val="24"/>
        </w:rPr>
        <w:t>.</w:t>
      </w:r>
    </w:p>
    <w:p w:rsidR="00DE4863" w:rsidRPr="00EA3847" w:rsidRDefault="00DE4863" w:rsidP="00DE4863">
      <w:pPr>
        <w:tabs>
          <w:tab w:val="left" w:pos="567"/>
        </w:tabs>
        <w:autoSpaceDE w:val="0"/>
        <w:autoSpaceDN w:val="0"/>
        <w:spacing w:after="120" w:line="240" w:lineRule="auto"/>
        <w:jc w:val="both"/>
        <w:rPr>
          <w:rFonts w:ascii="Georgia" w:hAnsi="Georgia"/>
          <w:sz w:val="24"/>
          <w:szCs w:val="24"/>
        </w:rPr>
      </w:pPr>
      <w:r w:rsidRPr="00EA3847">
        <w:rPr>
          <w:rFonts w:ascii="Georgia" w:hAnsi="Georgia"/>
          <w:sz w:val="24"/>
          <w:szCs w:val="24"/>
        </w:rPr>
        <w:t xml:space="preserve">По данным «Интерфакс-100» по размеру </w:t>
      </w:r>
      <w:r w:rsidRPr="00223729">
        <w:rPr>
          <w:rFonts w:ascii="Georgia" w:hAnsi="Georgia"/>
          <w:b/>
          <w:i/>
          <w:sz w:val="24"/>
          <w:szCs w:val="24"/>
        </w:rPr>
        <w:t>чистых активов</w:t>
      </w:r>
      <w:r w:rsidRPr="00EA3847">
        <w:rPr>
          <w:rFonts w:ascii="Georgia" w:hAnsi="Georgia"/>
          <w:sz w:val="24"/>
          <w:szCs w:val="24"/>
        </w:rPr>
        <w:t xml:space="preserve"> на 01.01.201</w:t>
      </w:r>
      <w:r>
        <w:rPr>
          <w:rFonts w:ascii="Georgia" w:hAnsi="Georgia"/>
          <w:sz w:val="24"/>
          <w:szCs w:val="24"/>
        </w:rPr>
        <w:t xml:space="preserve">6 </w:t>
      </w:r>
      <w:r w:rsidRPr="00EA3847">
        <w:rPr>
          <w:rFonts w:ascii="Georgia" w:hAnsi="Georgia"/>
          <w:sz w:val="24"/>
          <w:szCs w:val="24"/>
        </w:rPr>
        <w:t xml:space="preserve">г. Банк занимает </w:t>
      </w:r>
      <w:r w:rsidRPr="00EC5DBD">
        <w:rPr>
          <w:rFonts w:ascii="Georgia" w:hAnsi="Georgia"/>
          <w:b/>
          <w:color w:val="00B050"/>
          <w:sz w:val="24"/>
          <w:szCs w:val="24"/>
        </w:rPr>
        <w:t>14</w:t>
      </w:r>
      <w:r>
        <w:rPr>
          <w:rFonts w:ascii="Georgia" w:hAnsi="Georgia"/>
          <w:b/>
          <w:color w:val="00B050"/>
          <w:sz w:val="24"/>
          <w:szCs w:val="24"/>
        </w:rPr>
        <w:t>0</w:t>
      </w:r>
      <w:r w:rsidRPr="00EC5DBD">
        <w:rPr>
          <w:rFonts w:ascii="Georgia" w:hAnsi="Georgia"/>
          <w:b/>
          <w:color w:val="00B050"/>
          <w:sz w:val="24"/>
          <w:szCs w:val="24"/>
        </w:rPr>
        <w:t>-е место</w:t>
      </w:r>
      <w:r>
        <w:rPr>
          <w:rFonts w:ascii="Georgia" w:hAnsi="Georgia"/>
          <w:sz w:val="24"/>
          <w:szCs w:val="24"/>
        </w:rPr>
        <w:t xml:space="preserve"> (в 2014</w:t>
      </w:r>
      <w:r w:rsidRPr="00EA3847">
        <w:rPr>
          <w:rFonts w:ascii="Georgia" w:hAnsi="Georgia"/>
          <w:sz w:val="24"/>
          <w:szCs w:val="24"/>
        </w:rPr>
        <w:t xml:space="preserve"> году занимал </w:t>
      </w:r>
      <w:r>
        <w:rPr>
          <w:rFonts w:ascii="Georgia" w:hAnsi="Georgia"/>
          <w:sz w:val="24"/>
          <w:szCs w:val="24"/>
        </w:rPr>
        <w:t>148</w:t>
      </w:r>
      <w:r w:rsidRPr="00EA3847">
        <w:rPr>
          <w:rFonts w:ascii="Georgia" w:hAnsi="Georgia"/>
          <w:sz w:val="24"/>
          <w:szCs w:val="24"/>
        </w:rPr>
        <w:t xml:space="preserve">-е место). </w:t>
      </w:r>
    </w:p>
    <w:p w:rsidR="00DE4863" w:rsidRDefault="00DE4863" w:rsidP="00DE4863">
      <w:pPr>
        <w:tabs>
          <w:tab w:val="left" w:pos="567"/>
        </w:tabs>
        <w:autoSpaceDE w:val="0"/>
        <w:autoSpaceDN w:val="0"/>
        <w:spacing w:after="120" w:line="240" w:lineRule="auto"/>
        <w:jc w:val="both"/>
        <w:rPr>
          <w:rFonts w:ascii="Georgia" w:hAnsi="Georgia"/>
          <w:sz w:val="24"/>
          <w:szCs w:val="24"/>
        </w:rPr>
      </w:pPr>
      <w:r w:rsidRPr="00EA3847">
        <w:rPr>
          <w:rFonts w:ascii="Georgia" w:hAnsi="Georgia"/>
          <w:sz w:val="24"/>
          <w:szCs w:val="24"/>
        </w:rPr>
        <w:t xml:space="preserve">Согласно рейтингу агентства «Эксперт РА» по размеру </w:t>
      </w:r>
      <w:r w:rsidRPr="00EC5DBD">
        <w:rPr>
          <w:rFonts w:ascii="Georgia" w:hAnsi="Georgia"/>
          <w:b/>
          <w:i/>
          <w:sz w:val="24"/>
          <w:szCs w:val="24"/>
        </w:rPr>
        <w:t>кредитного портфеля</w:t>
      </w:r>
      <w:r w:rsidRPr="00EA3847">
        <w:rPr>
          <w:rFonts w:ascii="Georgia" w:hAnsi="Georgia"/>
          <w:sz w:val="24"/>
          <w:szCs w:val="24"/>
        </w:rPr>
        <w:t xml:space="preserve"> среди кредитных организаций РФ </w:t>
      </w:r>
      <w:r>
        <w:rPr>
          <w:rFonts w:ascii="Georgia" w:hAnsi="Georgia"/>
          <w:sz w:val="24"/>
          <w:szCs w:val="24"/>
        </w:rPr>
        <w:t>П</w:t>
      </w:r>
      <w:r w:rsidRPr="00EA3847">
        <w:rPr>
          <w:rFonts w:ascii="Georgia" w:hAnsi="Georgia"/>
          <w:sz w:val="24"/>
          <w:szCs w:val="24"/>
        </w:rPr>
        <w:t>АО «ИнтехБанк» на 01.01.201</w:t>
      </w:r>
      <w:r>
        <w:rPr>
          <w:rFonts w:ascii="Georgia" w:hAnsi="Georgia"/>
          <w:sz w:val="24"/>
          <w:szCs w:val="24"/>
        </w:rPr>
        <w:t>6</w:t>
      </w:r>
      <w:r w:rsidRPr="00EA3847">
        <w:rPr>
          <w:rFonts w:ascii="Georgia" w:hAnsi="Georgia"/>
          <w:sz w:val="24"/>
          <w:szCs w:val="24"/>
        </w:rPr>
        <w:t xml:space="preserve"> г. находится на 1</w:t>
      </w:r>
      <w:r>
        <w:rPr>
          <w:rFonts w:ascii="Georgia" w:hAnsi="Georgia"/>
          <w:sz w:val="24"/>
          <w:szCs w:val="24"/>
        </w:rPr>
        <w:t>12</w:t>
      </w:r>
      <w:r w:rsidRPr="00EA3847">
        <w:rPr>
          <w:rFonts w:ascii="Georgia" w:hAnsi="Georgia"/>
          <w:sz w:val="24"/>
          <w:szCs w:val="24"/>
        </w:rPr>
        <w:t xml:space="preserve">-ом месте, при этом по объему </w:t>
      </w:r>
      <w:r w:rsidRPr="00EC5DBD">
        <w:rPr>
          <w:rFonts w:ascii="Georgia" w:hAnsi="Georgia"/>
          <w:b/>
          <w:i/>
          <w:sz w:val="24"/>
          <w:szCs w:val="24"/>
        </w:rPr>
        <w:t>кредитного портфеля юридическим лицам</w:t>
      </w:r>
      <w:r w:rsidRPr="00EA3847">
        <w:rPr>
          <w:rFonts w:ascii="Georgia" w:hAnsi="Georgia"/>
          <w:sz w:val="24"/>
          <w:szCs w:val="24"/>
        </w:rPr>
        <w:t xml:space="preserve"> Банк занимает </w:t>
      </w:r>
      <w:r>
        <w:rPr>
          <w:rFonts w:ascii="Georgia" w:hAnsi="Georgia"/>
          <w:b/>
          <w:color w:val="00B050"/>
          <w:sz w:val="24"/>
          <w:szCs w:val="24"/>
        </w:rPr>
        <w:t>90</w:t>
      </w:r>
      <w:r w:rsidRPr="00EC5DBD">
        <w:rPr>
          <w:rFonts w:ascii="Georgia" w:hAnsi="Georgia"/>
          <w:b/>
          <w:color w:val="00B050"/>
          <w:sz w:val="24"/>
          <w:szCs w:val="24"/>
        </w:rPr>
        <w:t>-е место</w:t>
      </w:r>
      <w:r w:rsidRPr="00EA3847">
        <w:rPr>
          <w:rFonts w:ascii="Georgia" w:hAnsi="Georgia"/>
          <w:sz w:val="24"/>
          <w:szCs w:val="24"/>
        </w:rPr>
        <w:t xml:space="preserve"> (в 201</w:t>
      </w:r>
      <w:r>
        <w:rPr>
          <w:rFonts w:ascii="Georgia" w:hAnsi="Georgia"/>
          <w:sz w:val="24"/>
          <w:szCs w:val="24"/>
        </w:rPr>
        <w:t>4</w:t>
      </w:r>
      <w:r w:rsidRPr="00EA3847">
        <w:rPr>
          <w:rFonts w:ascii="Georgia" w:hAnsi="Georgia"/>
          <w:sz w:val="24"/>
          <w:szCs w:val="24"/>
        </w:rPr>
        <w:t xml:space="preserve"> году – </w:t>
      </w:r>
      <w:r>
        <w:rPr>
          <w:rFonts w:ascii="Georgia" w:hAnsi="Georgia"/>
          <w:sz w:val="24"/>
          <w:szCs w:val="24"/>
        </w:rPr>
        <w:t>101</w:t>
      </w:r>
      <w:r w:rsidRPr="00EA3847">
        <w:rPr>
          <w:rFonts w:ascii="Georgia" w:hAnsi="Georgia"/>
          <w:sz w:val="24"/>
          <w:szCs w:val="24"/>
        </w:rPr>
        <w:t>-е место).</w:t>
      </w:r>
    </w:p>
    <w:p w:rsidR="009A2C34" w:rsidRPr="00EA3847" w:rsidRDefault="009A2C34" w:rsidP="00DE4863">
      <w:pPr>
        <w:tabs>
          <w:tab w:val="left" w:pos="567"/>
        </w:tabs>
        <w:autoSpaceDE w:val="0"/>
        <w:autoSpaceDN w:val="0"/>
        <w:spacing w:after="120" w:line="240" w:lineRule="auto"/>
        <w:jc w:val="both"/>
        <w:rPr>
          <w:rFonts w:ascii="Georgia" w:hAnsi="Georgia"/>
          <w:sz w:val="24"/>
          <w:szCs w:val="24"/>
        </w:rPr>
      </w:pPr>
      <w:r w:rsidRPr="009A2C34">
        <w:rPr>
          <w:rFonts w:ascii="Georgia" w:hAnsi="Georgia"/>
          <w:sz w:val="24"/>
          <w:szCs w:val="24"/>
        </w:rPr>
        <w:t>По результатам 2015 года ПАО «ИнтехБанк» занимает 26-е место в РФ по объемам выдачи ипотечных кредитов (1 151 ипотечный кредит на сумму 2 061 млн. рублей).</w:t>
      </w:r>
    </w:p>
    <w:p w:rsidR="00DE4863" w:rsidRDefault="00DE4863" w:rsidP="00DE4863">
      <w:pPr>
        <w:tabs>
          <w:tab w:val="left" w:pos="567"/>
        </w:tabs>
        <w:autoSpaceDE w:val="0"/>
        <w:autoSpaceDN w:val="0"/>
        <w:spacing w:after="0" w:line="240" w:lineRule="auto"/>
        <w:jc w:val="both"/>
        <w:rPr>
          <w:rFonts w:ascii="Georgia" w:hAnsi="Georgia"/>
          <w:sz w:val="24"/>
          <w:szCs w:val="24"/>
        </w:rPr>
      </w:pPr>
      <w:r w:rsidRPr="00EA3847">
        <w:rPr>
          <w:rFonts w:ascii="Georgia" w:hAnsi="Georgia"/>
          <w:sz w:val="24"/>
          <w:szCs w:val="24"/>
        </w:rPr>
        <w:t xml:space="preserve">В рэнкинге по объемам </w:t>
      </w:r>
      <w:r w:rsidRPr="00F1171A">
        <w:rPr>
          <w:rFonts w:ascii="Georgia" w:hAnsi="Georgia"/>
          <w:b/>
          <w:i/>
          <w:sz w:val="24"/>
          <w:szCs w:val="24"/>
        </w:rPr>
        <w:t>привлеченных средств населения</w:t>
      </w:r>
      <w:r w:rsidRPr="00EA3847">
        <w:rPr>
          <w:rFonts w:ascii="Georgia" w:hAnsi="Georgia"/>
          <w:sz w:val="24"/>
          <w:szCs w:val="24"/>
        </w:rPr>
        <w:t xml:space="preserve"> согласно </w:t>
      </w:r>
      <w:r>
        <w:rPr>
          <w:rFonts w:ascii="Georgia" w:hAnsi="Georgia"/>
          <w:sz w:val="24"/>
          <w:szCs w:val="24"/>
        </w:rPr>
        <w:t>рейтингу агентства «Эксперт РА»</w:t>
      </w:r>
      <w:r w:rsidRPr="00EA3847">
        <w:rPr>
          <w:rFonts w:ascii="Georgia" w:hAnsi="Georgia"/>
          <w:sz w:val="24"/>
          <w:szCs w:val="24"/>
        </w:rPr>
        <w:t xml:space="preserve"> Банк занимает </w:t>
      </w:r>
      <w:r>
        <w:rPr>
          <w:rFonts w:ascii="Georgia" w:hAnsi="Georgia"/>
          <w:b/>
          <w:color w:val="00B050"/>
          <w:sz w:val="24"/>
          <w:szCs w:val="24"/>
        </w:rPr>
        <w:t>110</w:t>
      </w:r>
      <w:r w:rsidRPr="00F1171A">
        <w:rPr>
          <w:rFonts w:ascii="Georgia" w:hAnsi="Georgia"/>
          <w:b/>
          <w:color w:val="00B050"/>
          <w:sz w:val="24"/>
          <w:szCs w:val="24"/>
        </w:rPr>
        <w:t xml:space="preserve"> место</w:t>
      </w:r>
      <w:r w:rsidRPr="00EA3847">
        <w:rPr>
          <w:rFonts w:ascii="Georgia" w:hAnsi="Georgia"/>
          <w:sz w:val="24"/>
          <w:szCs w:val="24"/>
        </w:rPr>
        <w:t>.</w:t>
      </w:r>
    </w:p>
    <w:p w:rsidR="00DE4863" w:rsidRPr="00223845" w:rsidRDefault="00DE4863" w:rsidP="00DE4863">
      <w:pPr>
        <w:tabs>
          <w:tab w:val="left" w:pos="567"/>
        </w:tabs>
        <w:autoSpaceDE w:val="0"/>
        <w:autoSpaceDN w:val="0"/>
        <w:spacing w:after="0" w:line="240" w:lineRule="auto"/>
        <w:jc w:val="both"/>
        <w:rPr>
          <w:rFonts w:cstheme="minorHAnsi"/>
          <w:sz w:val="20"/>
          <w:szCs w:val="20"/>
        </w:rPr>
      </w:pPr>
    </w:p>
    <w:p w:rsidR="00DE4863" w:rsidRDefault="00DE4863" w:rsidP="00DE4863">
      <w:pPr>
        <w:pStyle w:val="1"/>
        <w:spacing w:before="0" w:line="240" w:lineRule="auto"/>
        <w:jc w:val="both"/>
        <w:rPr>
          <w:noProof/>
          <w:color w:val="00B050"/>
          <w:sz w:val="40"/>
          <w:szCs w:val="40"/>
        </w:rPr>
      </w:pPr>
      <w:bookmarkStart w:id="30" w:name="_Toc448145465"/>
      <w:r w:rsidRPr="00223845">
        <w:rPr>
          <w:noProof/>
          <w:color w:val="00B050"/>
          <w:sz w:val="40"/>
          <w:szCs w:val="40"/>
        </w:rPr>
        <w:t>Рейтинги Банка</w:t>
      </w:r>
      <w:bookmarkEnd w:id="30"/>
    </w:p>
    <w:p w:rsidR="00DE4863" w:rsidRPr="00223845" w:rsidRDefault="00DE4863" w:rsidP="00DE4863">
      <w:pPr>
        <w:spacing w:after="0" w:line="240" w:lineRule="auto"/>
        <w:rPr>
          <w:sz w:val="20"/>
          <w:szCs w:val="20"/>
        </w:rPr>
      </w:pPr>
    </w:p>
    <w:p w:rsidR="009A2C34" w:rsidRDefault="009A2C34" w:rsidP="009A2C34">
      <w:pPr>
        <w:widowControl w:val="0"/>
        <w:tabs>
          <w:tab w:val="left" w:pos="720"/>
          <w:tab w:val="left" w:pos="851"/>
        </w:tabs>
        <w:autoSpaceDE w:val="0"/>
        <w:autoSpaceDN w:val="0"/>
        <w:adjustRightInd w:val="0"/>
        <w:spacing w:after="0" w:line="240" w:lineRule="auto"/>
        <w:jc w:val="both"/>
        <w:rPr>
          <w:rFonts w:ascii="Georgia" w:hAnsi="Georgia"/>
          <w:color w:val="000000"/>
          <w:sz w:val="24"/>
          <w:szCs w:val="24"/>
        </w:rPr>
      </w:pPr>
      <w:r w:rsidRPr="009A2C34">
        <w:rPr>
          <w:rFonts w:ascii="Georgia" w:hAnsi="Georgia"/>
          <w:color w:val="000000"/>
          <w:sz w:val="24"/>
          <w:szCs w:val="24"/>
        </w:rPr>
        <w:t>По состоянию на 01.01.2016 г. ПАО «ИнтехБанк» присвоены следующие рейтинги кредитоспособности:</w:t>
      </w:r>
    </w:p>
    <w:p w:rsidR="009A2C34" w:rsidRDefault="009A2C34" w:rsidP="00DE4863">
      <w:pPr>
        <w:widowControl w:val="0"/>
        <w:tabs>
          <w:tab w:val="left" w:pos="720"/>
          <w:tab w:val="left" w:pos="851"/>
        </w:tabs>
        <w:autoSpaceDE w:val="0"/>
        <w:autoSpaceDN w:val="0"/>
        <w:adjustRightInd w:val="0"/>
        <w:spacing w:after="0" w:line="240" w:lineRule="auto"/>
        <w:jc w:val="both"/>
        <w:rPr>
          <w:rFonts w:ascii="Georgia" w:hAnsi="Georgia"/>
          <w:b/>
          <w:i/>
          <w:color w:val="000000"/>
          <w:sz w:val="24"/>
          <w:szCs w:val="24"/>
        </w:rPr>
      </w:pPr>
    </w:p>
    <w:p w:rsidR="00DE4863" w:rsidRDefault="00DE4863" w:rsidP="00DE4863">
      <w:pPr>
        <w:widowControl w:val="0"/>
        <w:tabs>
          <w:tab w:val="left" w:pos="720"/>
          <w:tab w:val="left" w:pos="851"/>
        </w:tabs>
        <w:autoSpaceDE w:val="0"/>
        <w:autoSpaceDN w:val="0"/>
        <w:adjustRightInd w:val="0"/>
        <w:spacing w:after="0" w:line="240" w:lineRule="auto"/>
        <w:jc w:val="both"/>
        <w:rPr>
          <w:rFonts w:ascii="Georgia" w:hAnsi="Georgia"/>
          <w:color w:val="000000"/>
          <w:sz w:val="24"/>
          <w:szCs w:val="24"/>
        </w:rPr>
      </w:pPr>
      <w:r>
        <w:rPr>
          <w:rFonts w:ascii="Georgia" w:hAnsi="Georgia"/>
          <w:b/>
          <w:i/>
          <w:color w:val="000000"/>
          <w:sz w:val="24"/>
          <w:szCs w:val="24"/>
        </w:rPr>
        <w:t>Р</w:t>
      </w:r>
      <w:r w:rsidRPr="00515CED">
        <w:rPr>
          <w:rFonts w:ascii="Georgia" w:hAnsi="Georgia"/>
          <w:b/>
          <w:i/>
          <w:color w:val="000000"/>
          <w:sz w:val="24"/>
          <w:szCs w:val="24"/>
        </w:rPr>
        <w:t>ейтингово</w:t>
      </w:r>
      <w:r>
        <w:rPr>
          <w:rFonts w:ascii="Georgia" w:hAnsi="Georgia"/>
          <w:b/>
          <w:i/>
          <w:color w:val="000000"/>
          <w:sz w:val="24"/>
          <w:szCs w:val="24"/>
        </w:rPr>
        <w:t>е</w:t>
      </w:r>
      <w:r w:rsidRPr="00515CED">
        <w:rPr>
          <w:rFonts w:ascii="Georgia" w:hAnsi="Georgia"/>
          <w:b/>
          <w:i/>
          <w:color w:val="000000"/>
          <w:sz w:val="24"/>
          <w:szCs w:val="24"/>
        </w:rPr>
        <w:t xml:space="preserve"> агентств</w:t>
      </w:r>
      <w:r>
        <w:rPr>
          <w:rFonts w:ascii="Georgia" w:hAnsi="Georgia"/>
          <w:b/>
          <w:i/>
          <w:color w:val="000000"/>
          <w:sz w:val="24"/>
          <w:szCs w:val="24"/>
        </w:rPr>
        <w:t>о</w:t>
      </w:r>
      <w:r w:rsidRPr="00515CED">
        <w:rPr>
          <w:rFonts w:ascii="Georgia" w:hAnsi="Georgia"/>
          <w:b/>
          <w:i/>
          <w:color w:val="000000"/>
          <w:sz w:val="24"/>
          <w:szCs w:val="24"/>
        </w:rPr>
        <w:t xml:space="preserve"> «Эксперт РА»</w:t>
      </w:r>
    </w:p>
    <w:p w:rsidR="00DE4863" w:rsidRDefault="00DE4863" w:rsidP="00DE4863">
      <w:pPr>
        <w:widowControl w:val="0"/>
        <w:tabs>
          <w:tab w:val="left" w:pos="720"/>
          <w:tab w:val="left" w:pos="851"/>
        </w:tabs>
        <w:autoSpaceDE w:val="0"/>
        <w:autoSpaceDN w:val="0"/>
        <w:adjustRightInd w:val="0"/>
        <w:spacing w:after="0" w:line="240" w:lineRule="auto"/>
        <w:jc w:val="both"/>
        <w:rPr>
          <w:rFonts w:ascii="Georgia" w:hAnsi="Georgia"/>
          <w:color w:val="000000"/>
          <w:sz w:val="24"/>
          <w:szCs w:val="24"/>
        </w:rPr>
      </w:pPr>
      <w:r>
        <w:rPr>
          <w:rFonts w:ascii="Georgia" w:hAnsi="Georgia"/>
          <w:color w:val="000000"/>
          <w:sz w:val="24"/>
          <w:szCs w:val="24"/>
        </w:rPr>
        <w:t>Р</w:t>
      </w:r>
      <w:r w:rsidRPr="00223845">
        <w:rPr>
          <w:rFonts w:ascii="Georgia" w:hAnsi="Georgia"/>
          <w:color w:val="000000"/>
          <w:sz w:val="24"/>
          <w:szCs w:val="24"/>
        </w:rPr>
        <w:t xml:space="preserve">ейтинг кредитоспособности на уровне </w:t>
      </w:r>
      <w:r w:rsidRPr="0070080D">
        <w:rPr>
          <w:rFonts w:ascii="Georgia" w:hAnsi="Georgia"/>
          <w:b/>
          <w:color w:val="00B050"/>
          <w:sz w:val="24"/>
          <w:szCs w:val="24"/>
        </w:rPr>
        <w:t>«А»</w:t>
      </w:r>
      <w:r w:rsidRPr="00223845">
        <w:rPr>
          <w:rFonts w:ascii="Georgia" w:hAnsi="Georgia"/>
          <w:color w:val="000000"/>
          <w:sz w:val="24"/>
          <w:szCs w:val="24"/>
        </w:rPr>
        <w:t xml:space="preserve"> («Высокий уровень кредитоспособности») </w:t>
      </w:r>
      <w:r>
        <w:rPr>
          <w:rFonts w:ascii="Georgia" w:hAnsi="Georgia"/>
          <w:color w:val="000000"/>
          <w:sz w:val="24"/>
          <w:szCs w:val="24"/>
        </w:rPr>
        <w:t>с негативным</w:t>
      </w:r>
      <w:r w:rsidRPr="00223845">
        <w:rPr>
          <w:rFonts w:ascii="Georgia" w:hAnsi="Georgia"/>
          <w:color w:val="000000"/>
          <w:sz w:val="24"/>
          <w:szCs w:val="24"/>
        </w:rPr>
        <w:t xml:space="preserve"> прогнозом</w:t>
      </w:r>
      <w:r>
        <w:rPr>
          <w:rFonts w:ascii="Georgia" w:hAnsi="Georgia"/>
          <w:color w:val="000000"/>
          <w:sz w:val="24"/>
          <w:szCs w:val="24"/>
        </w:rPr>
        <w:t xml:space="preserve"> </w:t>
      </w:r>
    </w:p>
    <w:p w:rsidR="00DE4863" w:rsidRDefault="00DE4863" w:rsidP="00DE4863">
      <w:pPr>
        <w:widowControl w:val="0"/>
        <w:tabs>
          <w:tab w:val="left" w:pos="720"/>
          <w:tab w:val="left" w:pos="851"/>
        </w:tabs>
        <w:autoSpaceDE w:val="0"/>
        <w:autoSpaceDN w:val="0"/>
        <w:adjustRightInd w:val="0"/>
        <w:spacing w:after="0" w:line="240" w:lineRule="auto"/>
        <w:jc w:val="both"/>
        <w:rPr>
          <w:rFonts w:ascii="Georgia" w:hAnsi="Georgia"/>
          <w:color w:val="000000"/>
          <w:sz w:val="24"/>
          <w:szCs w:val="24"/>
        </w:rPr>
      </w:pPr>
      <w:r>
        <w:rPr>
          <w:rFonts w:ascii="Georgia" w:hAnsi="Georgia"/>
          <w:color w:val="000000"/>
          <w:sz w:val="24"/>
          <w:szCs w:val="24"/>
        </w:rPr>
        <w:t xml:space="preserve">Дата </w:t>
      </w:r>
      <w:r w:rsidRPr="00223845">
        <w:rPr>
          <w:rFonts w:ascii="Georgia" w:hAnsi="Georgia"/>
          <w:color w:val="000000"/>
          <w:sz w:val="24"/>
          <w:szCs w:val="24"/>
        </w:rPr>
        <w:t>подтвержден</w:t>
      </w:r>
      <w:r>
        <w:rPr>
          <w:rFonts w:ascii="Georgia" w:hAnsi="Georgia"/>
          <w:color w:val="000000"/>
          <w:sz w:val="24"/>
          <w:szCs w:val="24"/>
        </w:rPr>
        <w:t>ия рейтинга 02.10.2015 г.</w:t>
      </w:r>
    </w:p>
    <w:p w:rsidR="00DE4863" w:rsidRPr="00223845" w:rsidRDefault="00DE4863" w:rsidP="00DE4863">
      <w:pPr>
        <w:widowControl w:val="0"/>
        <w:tabs>
          <w:tab w:val="left" w:pos="720"/>
          <w:tab w:val="left" w:pos="851"/>
        </w:tabs>
        <w:autoSpaceDE w:val="0"/>
        <w:autoSpaceDN w:val="0"/>
        <w:adjustRightInd w:val="0"/>
        <w:spacing w:after="0" w:line="240" w:lineRule="auto"/>
        <w:jc w:val="both"/>
        <w:rPr>
          <w:rFonts w:ascii="Georgia" w:hAnsi="Georgia"/>
          <w:color w:val="000000"/>
          <w:sz w:val="24"/>
          <w:szCs w:val="24"/>
        </w:rPr>
      </w:pPr>
    </w:p>
    <w:p w:rsidR="00DE4863" w:rsidRDefault="00DE4863" w:rsidP="00DE4863">
      <w:pPr>
        <w:spacing w:after="0" w:line="240" w:lineRule="auto"/>
        <w:jc w:val="both"/>
        <w:rPr>
          <w:rFonts w:ascii="Georgia" w:hAnsi="Georgia"/>
          <w:b/>
          <w:i/>
          <w:color w:val="000000"/>
          <w:sz w:val="24"/>
          <w:szCs w:val="24"/>
        </w:rPr>
      </w:pPr>
      <w:r>
        <w:rPr>
          <w:rFonts w:ascii="Georgia" w:hAnsi="Georgia"/>
          <w:b/>
          <w:i/>
          <w:color w:val="000000"/>
          <w:sz w:val="24"/>
          <w:szCs w:val="24"/>
        </w:rPr>
        <w:t>Р</w:t>
      </w:r>
      <w:r w:rsidRPr="00223845">
        <w:rPr>
          <w:rFonts w:ascii="Georgia" w:hAnsi="Georgia"/>
          <w:b/>
          <w:i/>
          <w:color w:val="000000"/>
          <w:sz w:val="24"/>
          <w:szCs w:val="24"/>
        </w:rPr>
        <w:t>ейтингово</w:t>
      </w:r>
      <w:r>
        <w:rPr>
          <w:rFonts w:ascii="Georgia" w:hAnsi="Georgia"/>
          <w:b/>
          <w:i/>
          <w:color w:val="000000"/>
          <w:sz w:val="24"/>
          <w:szCs w:val="24"/>
        </w:rPr>
        <w:t>е</w:t>
      </w:r>
      <w:r w:rsidRPr="00223845">
        <w:rPr>
          <w:rFonts w:ascii="Georgia" w:hAnsi="Georgia"/>
          <w:b/>
          <w:i/>
          <w:color w:val="000000"/>
          <w:sz w:val="24"/>
          <w:szCs w:val="24"/>
        </w:rPr>
        <w:t xml:space="preserve"> агентств</w:t>
      </w:r>
      <w:r>
        <w:rPr>
          <w:rFonts w:ascii="Georgia" w:hAnsi="Georgia"/>
          <w:b/>
          <w:i/>
          <w:color w:val="000000"/>
          <w:sz w:val="24"/>
          <w:szCs w:val="24"/>
        </w:rPr>
        <w:t>о</w:t>
      </w:r>
      <w:r w:rsidRPr="00223845">
        <w:rPr>
          <w:rFonts w:ascii="Georgia" w:hAnsi="Georgia"/>
          <w:b/>
          <w:i/>
          <w:color w:val="000000"/>
          <w:sz w:val="24"/>
          <w:szCs w:val="24"/>
        </w:rPr>
        <w:t xml:space="preserve"> «AK&amp;M»</w:t>
      </w:r>
    </w:p>
    <w:p w:rsidR="00DE4863" w:rsidRDefault="00DE4863" w:rsidP="00DE4863">
      <w:pPr>
        <w:spacing w:after="0" w:line="240" w:lineRule="auto"/>
        <w:jc w:val="both"/>
        <w:rPr>
          <w:rFonts w:ascii="Georgia" w:hAnsi="Georgia"/>
          <w:color w:val="000000"/>
          <w:sz w:val="24"/>
          <w:szCs w:val="24"/>
        </w:rPr>
      </w:pPr>
      <w:r>
        <w:rPr>
          <w:rFonts w:ascii="Georgia" w:hAnsi="Georgia"/>
          <w:color w:val="000000"/>
          <w:sz w:val="24"/>
          <w:szCs w:val="24"/>
        </w:rPr>
        <w:t>Р</w:t>
      </w:r>
      <w:r w:rsidRPr="00223845">
        <w:rPr>
          <w:rFonts w:ascii="Georgia" w:hAnsi="Georgia"/>
          <w:color w:val="000000"/>
          <w:sz w:val="24"/>
          <w:szCs w:val="24"/>
        </w:rPr>
        <w:t>ейтинг кредитоспособности по национальной шкал</w:t>
      </w:r>
      <w:r>
        <w:rPr>
          <w:rFonts w:ascii="Georgia" w:hAnsi="Georgia"/>
          <w:color w:val="000000"/>
          <w:sz w:val="24"/>
          <w:szCs w:val="24"/>
        </w:rPr>
        <w:t xml:space="preserve">е </w:t>
      </w:r>
      <w:r w:rsidRPr="0070080D">
        <w:rPr>
          <w:rFonts w:ascii="Georgia" w:hAnsi="Georgia"/>
          <w:b/>
          <w:color w:val="00B050"/>
          <w:sz w:val="24"/>
          <w:szCs w:val="24"/>
        </w:rPr>
        <w:t>«А»</w:t>
      </w:r>
      <w:r>
        <w:rPr>
          <w:rFonts w:ascii="Georgia" w:hAnsi="Georgia"/>
          <w:color w:val="000000"/>
          <w:sz w:val="24"/>
          <w:szCs w:val="24"/>
        </w:rPr>
        <w:t xml:space="preserve"> с негативным прогнозом </w:t>
      </w:r>
    </w:p>
    <w:p w:rsidR="00DE4863" w:rsidRPr="00AB4AA1" w:rsidRDefault="00DE4863" w:rsidP="00DE4863">
      <w:pPr>
        <w:pStyle w:val="2014"/>
      </w:pPr>
      <w:r w:rsidRPr="00AB4AA1">
        <w:t xml:space="preserve">Дата подтверждения рейтинга </w:t>
      </w:r>
      <w:r>
        <w:t>09.09.2015</w:t>
      </w:r>
      <w:r w:rsidRPr="00AB4AA1">
        <w:t xml:space="preserve"> г.</w:t>
      </w:r>
    </w:p>
    <w:p w:rsidR="00DE4863" w:rsidRDefault="00DE4863" w:rsidP="00DE4863">
      <w:pPr>
        <w:rPr>
          <w:rStyle w:val="relizetitle"/>
          <w:rFonts w:ascii="Georgia" w:eastAsiaTheme="majorEastAsia" w:hAnsi="Georgia"/>
          <w:b/>
          <w:bCs/>
          <w:color w:val="000000"/>
          <w:sz w:val="24"/>
          <w:szCs w:val="24"/>
        </w:rPr>
      </w:pPr>
      <w:r>
        <w:rPr>
          <w:rStyle w:val="relizetitle"/>
          <w:rFonts w:ascii="Georgia" w:hAnsi="Georgia"/>
          <w:color w:val="000000"/>
          <w:sz w:val="24"/>
          <w:szCs w:val="24"/>
        </w:rPr>
        <w:br w:type="page"/>
      </w:r>
    </w:p>
    <w:p w:rsidR="00DE4863" w:rsidRPr="00961F0F" w:rsidRDefault="00DE4863" w:rsidP="00DE4863">
      <w:pPr>
        <w:pStyle w:val="1"/>
        <w:spacing w:before="0" w:line="240" w:lineRule="auto"/>
        <w:rPr>
          <w:noProof/>
          <w:color w:val="00B050"/>
          <w:sz w:val="20"/>
          <w:szCs w:val="20"/>
        </w:rPr>
      </w:pPr>
    </w:p>
    <w:p w:rsidR="00DE4863" w:rsidRDefault="00DE4863" w:rsidP="00DE4863">
      <w:pPr>
        <w:pStyle w:val="1"/>
        <w:spacing w:before="0" w:line="240" w:lineRule="auto"/>
        <w:rPr>
          <w:noProof/>
          <w:color w:val="00B050"/>
          <w:sz w:val="40"/>
        </w:rPr>
      </w:pPr>
      <w:bookmarkStart w:id="31" w:name="_Toc448145466"/>
      <w:r w:rsidRPr="00B83C16">
        <w:rPr>
          <w:noProof/>
          <w:color w:val="00B050"/>
          <w:sz w:val="40"/>
        </w:rPr>
        <w:t>Макроэкономическая ситуация в 201</w:t>
      </w:r>
      <w:r>
        <w:rPr>
          <w:noProof/>
          <w:color w:val="00B050"/>
          <w:sz w:val="40"/>
        </w:rPr>
        <w:t>5</w:t>
      </w:r>
      <w:r w:rsidRPr="00B83C16">
        <w:rPr>
          <w:noProof/>
          <w:color w:val="00B050"/>
          <w:sz w:val="40"/>
        </w:rPr>
        <w:t xml:space="preserve"> году</w:t>
      </w:r>
      <w:bookmarkEnd w:id="31"/>
    </w:p>
    <w:p w:rsidR="00DE4863" w:rsidRPr="00377981" w:rsidRDefault="00DE4863" w:rsidP="00C562E5">
      <w:pPr>
        <w:pStyle w:val="1"/>
        <w:spacing w:before="0" w:line="240" w:lineRule="auto"/>
        <w:jc w:val="both"/>
        <w:rPr>
          <w:color w:val="00B050"/>
          <w:sz w:val="20"/>
          <w:szCs w:val="20"/>
        </w:rPr>
      </w:pPr>
    </w:p>
    <w:p w:rsidR="00DE4863" w:rsidRPr="00C562E5" w:rsidRDefault="00DE4863" w:rsidP="00C562E5">
      <w:pPr>
        <w:autoSpaceDE w:val="0"/>
        <w:autoSpaceDN w:val="0"/>
        <w:adjustRightInd w:val="0"/>
        <w:spacing w:after="0" w:line="240" w:lineRule="auto"/>
        <w:jc w:val="both"/>
        <w:rPr>
          <w:rFonts w:ascii="Georgia" w:hAnsi="Georgia"/>
          <w:sz w:val="24"/>
          <w:szCs w:val="24"/>
        </w:rPr>
      </w:pPr>
      <w:r w:rsidRPr="00C562E5">
        <w:rPr>
          <w:rFonts w:ascii="Georgia" w:hAnsi="Georgia"/>
          <w:sz w:val="24"/>
          <w:szCs w:val="24"/>
        </w:rPr>
        <w:t>Предварительные данные по итогам 2015 года свидетельствуют о том, что прошедший год был не самым благоприятным для российской экономики. ВВП страны оказался в области отрицательных значений, снизившись по сравнению с 2014 годом. Вместе с тем в декабре отмечается остановка спада с устранением сезонности.</w:t>
      </w:r>
    </w:p>
    <w:p w:rsidR="00DE4863" w:rsidRDefault="00DE4863" w:rsidP="00C562E5">
      <w:pPr>
        <w:autoSpaceDE w:val="0"/>
        <w:autoSpaceDN w:val="0"/>
        <w:adjustRightInd w:val="0"/>
        <w:spacing w:after="0" w:line="240" w:lineRule="auto"/>
        <w:jc w:val="both"/>
        <w:rPr>
          <w:rFonts w:ascii="Georgia" w:hAnsi="Georgia"/>
          <w:sz w:val="24"/>
          <w:szCs w:val="24"/>
        </w:rPr>
      </w:pPr>
      <w:r w:rsidRPr="00C562E5">
        <w:rPr>
          <w:rFonts w:ascii="Georgia" w:hAnsi="Georgia"/>
          <w:sz w:val="24"/>
          <w:szCs w:val="24"/>
        </w:rPr>
        <w:t>По итогам 2015 года, по первой оценке Росстата, ВВП снизился на 3,7% к</w:t>
      </w:r>
      <w:r w:rsidR="00C562E5">
        <w:rPr>
          <w:rFonts w:ascii="Georgia" w:hAnsi="Georgia"/>
          <w:sz w:val="24"/>
          <w:szCs w:val="24"/>
        </w:rPr>
        <w:t xml:space="preserve"> </w:t>
      </w:r>
      <w:r w:rsidRPr="00C562E5">
        <w:rPr>
          <w:rFonts w:ascii="Georgia" w:hAnsi="Georgia"/>
          <w:sz w:val="24"/>
          <w:szCs w:val="24"/>
        </w:rPr>
        <w:t>предыдущему году.</w:t>
      </w:r>
      <w:r>
        <w:rPr>
          <w:rFonts w:ascii="Times New Roman" w:eastAsiaTheme="minorHAnsi" w:hAnsi="Times New Roman" w:cs="Times New Roman"/>
          <w:sz w:val="26"/>
          <w:szCs w:val="26"/>
          <w:lang w:eastAsia="en-US"/>
        </w:rPr>
        <w:t xml:space="preserve"> </w:t>
      </w:r>
      <w:r w:rsidRPr="001751DE">
        <w:rPr>
          <w:rFonts w:ascii="Georgia" w:hAnsi="Georgia"/>
          <w:b/>
          <w:i/>
          <w:sz w:val="24"/>
          <w:szCs w:val="24"/>
        </w:rPr>
        <w:t>Номинальный объем ВВП</w:t>
      </w:r>
      <w:r w:rsidRPr="00392384">
        <w:rPr>
          <w:rFonts w:ascii="Georgia" w:hAnsi="Georgia"/>
          <w:sz w:val="24"/>
          <w:szCs w:val="24"/>
        </w:rPr>
        <w:t xml:space="preserve"> России в 201</w:t>
      </w:r>
      <w:r>
        <w:rPr>
          <w:rFonts w:ascii="Georgia" w:hAnsi="Georgia"/>
          <w:sz w:val="24"/>
          <w:szCs w:val="24"/>
        </w:rPr>
        <w:t>5</w:t>
      </w:r>
      <w:r w:rsidRPr="00392384">
        <w:rPr>
          <w:rFonts w:ascii="Georgia" w:hAnsi="Georgia"/>
          <w:sz w:val="24"/>
          <w:szCs w:val="24"/>
        </w:rPr>
        <w:t xml:space="preserve"> году составил </w:t>
      </w:r>
      <w:r>
        <w:rPr>
          <w:rFonts w:ascii="Georgia" w:hAnsi="Georgia"/>
          <w:sz w:val="24"/>
          <w:szCs w:val="24"/>
        </w:rPr>
        <w:t>80 412,5</w:t>
      </w:r>
      <w:r w:rsidRPr="00392384">
        <w:rPr>
          <w:rFonts w:ascii="Georgia" w:hAnsi="Georgia"/>
          <w:sz w:val="24"/>
          <w:szCs w:val="24"/>
        </w:rPr>
        <w:t xml:space="preserve"> млрд. рублей</w:t>
      </w:r>
      <w:r>
        <w:rPr>
          <w:rFonts w:ascii="Georgia" w:hAnsi="Georgia"/>
          <w:sz w:val="24"/>
          <w:szCs w:val="24"/>
        </w:rPr>
        <w:t>.</w:t>
      </w:r>
    </w:p>
    <w:p w:rsidR="00DE4863" w:rsidRDefault="00DE4863" w:rsidP="00DE4863">
      <w:pPr>
        <w:autoSpaceDE w:val="0"/>
        <w:autoSpaceDN w:val="0"/>
        <w:adjustRightInd w:val="0"/>
        <w:spacing w:after="120" w:line="240" w:lineRule="auto"/>
        <w:jc w:val="both"/>
        <w:rPr>
          <w:rFonts w:ascii="Georgia" w:hAnsi="Georgia"/>
          <w:sz w:val="24"/>
          <w:szCs w:val="24"/>
        </w:rPr>
      </w:pPr>
      <w:r>
        <w:rPr>
          <w:noProof/>
        </w:rPr>
        <w:drawing>
          <wp:inline distT="0" distB="0" distL="0" distR="0" wp14:anchorId="13BC756C" wp14:editId="3FF17C70">
            <wp:extent cx="5380074" cy="3200400"/>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E4863" w:rsidRPr="00BD6BB8" w:rsidRDefault="00DE4863" w:rsidP="00DE4863">
      <w:pPr>
        <w:spacing w:after="0" w:line="240" w:lineRule="auto"/>
        <w:jc w:val="right"/>
        <w:rPr>
          <w:rFonts w:ascii="Georgia" w:hAnsi="Georgia"/>
          <w:sz w:val="14"/>
          <w:szCs w:val="14"/>
        </w:rPr>
      </w:pPr>
      <w:r w:rsidRPr="00BD6BB8">
        <w:rPr>
          <w:rFonts w:ascii="Georgia" w:hAnsi="Georgia"/>
          <w:sz w:val="14"/>
          <w:szCs w:val="14"/>
        </w:rPr>
        <w:t>(в % к соответствующему периоду предыдущего года)</w:t>
      </w:r>
    </w:p>
    <w:p w:rsidR="00D1459B" w:rsidRPr="009A2C34" w:rsidRDefault="00D1459B" w:rsidP="00DE4863">
      <w:pPr>
        <w:autoSpaceDE w:val="0"/>
        <w:autoSpaceDN w:val="0"/>
        <w:adjustRightInd w:val="0"/>
        <w:spacing w:after="120" w:line="240" w:lineRule="auto"/>
        <w:jc w:val="center"/>
        <w:rPr>
          <w:rFonts w:ascii="Georgia" w:hAnsi="Georgia"/>
          <w:b/>
          <w:sz w:val="20"/>
          <w:szCs w:val="24"/>
        </w:rPr>
      </w:pPr>
    </w:p>
    <w:p w:rsidR="00DE4863" w:rsidRPr="002B61C6" w:rsidRDefault="00DE4863" w:rsidP="00DE4863">
      <w:pPr>
        <w:autoSpaceDE w:val="0"/>
        <w:autoSpaceDN w:val="0"/>
        <w:adjustRightInd w:val="0"/>
        <w:spacing w:after="120" w:line="240" w:lineRule="auto"/>
        <w:jc w:val="center"/>
        <w:rPr>
          <w:rFonts w:ascii="Georgia" w:hAnsi="Georgia"/>
          <w:b/>
          <w:sz w:val="24"/>
          <w:szCs w:val="24"/>
        </w:rPr>
      </w:pPr>
      <w:r w:rsidRPr="002B61C6">
        <w:rPr>
          <w:rFonts w:ascii="Georgia" w:hAnsi="Georgia"/>
          <w:b/>
          <w:sz w:val="24"/>
          <w:szCs w:val="24"/>
        </w:rPr>
        <w:t xml:space="preserve">Динамика ВВП </w:t>
      </w:r>
      <w:r>
        <w:rPr>
          <w:rFonts w:ascii="Georgia" w:hAnsi="Georgia"/>
          <w:b/>
          <w:sz w:val="24"/>
          <w:szCs w:val="24"/>
        </w:rPr>
        <w:t xml:space="preserve">ведущих </w:t>
      </w:r>
      <w:r w:rsidRPr="002B61C6">
        <w:rPr>
          <w:rFonts w:ascii="Georgia" w:hAnsi="Georgia"/>
          <w:b/>
          <w:sz w:val="24"/>
          <w:szCs w:val="24"/>
        </w:rPr>
        <w:t>экономик мира</w:t>
      </w:r>
    </w:p>
    <w:p w:rsidR="00DE4863" w:rsidRDefault="00DE4863" w:rsidP="00DE4863">
      <w:pPr>
        <w:autoSpaceDE w:val="0"/>
        <w:autoSpaceDN w:val="0"/>
        <w:adjustRightInd w:val="0"/>
        <w:spacing w:after="120" w:line="240" w:lineRule="auto"/>
        <w:jc w:val="both"/>
        <w:rPr>
          <w:sz w:val="26"/>
          <w:szCs w:val="26"/>
        </w:rPr>
      </w:pPr>
      <w:r w:rsidRPr="00413CFE">
        <w:rPr>
          <w:rFonts w:ascii="Georgia" w:hAnsi="Georgia"/>
          <w:sz w:val="24"/>
          <w:szCs w:val="24"/>
        </w:rPr>
        <w:t>Положительное влияние на динамику ВВП оказал</w:t>
      </w:r>
      <w:r>
        <w:rPr>
          <w:rFonts w:ascii="Georgia" w:hAnsi="Georgia"/>
          <w:sz w:val="24"/>
          <w:szCs w:val="24"/>
        </w:rPr>
        <w:t>а</w:t>
      </w:r>
      <w:r w:rsidRPr="00413CFE">
        <w:rPr>
          <w:rFonts w:ascii="Georgia" w:hAnsi="Georgia"/>
          <w:sz w:val="24"/>
          <w:szCs w:val="24"/>
        </w:rPr>
        <w:t xml:space="preserve"> </w:t>
      </w:r>
      <w:r>
        <w:rPr>
          <w:rFonts w:ascii="Georgia" w:hAnsi="Georgia"/>
          <w:sz w:val="24"/>
          <w:szCs w:val="24"/>
        </w:rPr>
        <w:t>лишь добыча полезных ископаемых</w:t>
      </w:r>
      <w:r w:rsidRPr="00413CFE">
        <w:rPr>
          <w:rFonts w:ascii="Georgia" w:hAnsi="Georgia"/>
          <w:sz w:val="24"/>
          <w:szCs w:val="24"/>
        </w:rPr>
        <w:t xml:space="preserve">. Негативное влияние </w:t>
      </w:r>
      <w:r>
        <w:rPr>
          <w:rFonts w:ascii="Georgia" w:hAnsi="Georgia"/>
          <w:sz w:val="24"/>
          <w:szCs w:val="24"/>
        </w:rPr>
        <w:t>-</w:t>
      </w:r>
      <w:r w:rsidRPr="00413CFE">
        <w:rPr>
          <w:rFonts w:ascii="Georgia" w:hAnsi="Georgia"/>
          <w:sz w:val="24"/>
          <w:szCs w:val="24"/>
        </w:rPr>
        <w:t xml:space="preserve"> производство и распределение электроэнергии, газа и воды, строительство, сельское хозяйство</w:t>
      </w:r>
      <w:r>
        <w:rPr>
          <w:rFonts w:ascii="Georgia" w:hAnsi="Georgia"/>
          <w:sz w:val="24"/>
          <w:szCs w:val="24"/>
        </w:rPr>
        <w:t xml:space="preserve">, </w:t>
      </w:r>
      <w:r w:rsidRPr="00413CFE">
        <w:rPr>
          <w:rFonts w:ascii="Georgia" w:hAnsi="Georgia"/>
          <w:sz w:val="24"/>
          <w:szCs w:val="24"/>
        </w:rPr>
        <w:t>обрабатывающие производства, розничная торговля и платные услуги населению.</w:t>
      </w:r>
      <w:r>
        <w:rPr>
          <w:sz w:val="26"/>
          <w:szCs w:val="26"/>
        </w:rPr>
        <w:t xml:space="preserve"> </w:t>
      </w:r>
    </w:p>
    <w:p w:rsidR="00DE4863" w:rsidRDefault="00DE4863" w:rsidP="00DE4863">
      <w:pPr>
        <w:autoSpaceDE w:val="0"/>
        <w:autoSpaceDN w:val="0"/>
        <w:adjustRightInd w:val="0"/>
        <w:spacing w:after="120" w:line="240" w:lineRule="auto"/>
        <w:jc w:val="both"/>
        <w:rPr>
          <w:sz w:val="26"/>
          <w:szCs w:val="26"/>
        </w:rPr>
      </w:pPr>
      <w:r>
        <w:rPr>
          <w:rFonts w:ascii="Georgia" w:hAnsi="Georgia"/>
          <w:sz w:val="24"/>
          <w:szCs w:val="24"/>
        </w:rPr>
        <w:t>Г</w:t>
      </w:r>
      <w:r w:rsidRPr="00F92AB0">
        <w:rPr>
          <w:rFonts w:ascii="Georgia" w:hAnsi="Georgia"/>
          <w:sz w:val="24"/>
          <w:szCs w:val="24"/>
        </w:rPr>
        <w:t xml:space="preserve">одовая динамика </w:t>
      </w:r>
      <w:r w:rsidRPr="001751DE">
        <w:rPr>
          <w:rFonts w:ascii="Georgia" w:hAnsi="Georgia"/>
          <w:b/>
          <w:i/>
          <w:sz w:val="24"/>
          <w:szCs w:val="24"/>
        </w:rPr>
        <w:t>инвестиций в основной капитал</w:t>
      </w:r>
      <w:r>
        <w:rPr>
          <w:rFonts w:ascii="Georgia" w:hAnsi="Georgia"/>
          <w:b/>
          <w:i/>
          <w:sz w:val="24"/>
          <w:szCs w:val="24"/>
        </w:rPr>
        <w:t xml:space="preserve"> </w:t>
      </w:r>
      <w:r w:rsidRPr="00286FA2">
        <w:rPr>
          <w:rFonts w:ascii="Georgia" w:hAnsi="Georgia"/>
          <w:sz w:val="24"/>
          <w:szCs w:val="24"/>
        </w:rPr>
        <w:t>в 201</w:t>
      </w:r>
      <w:r>
        <w:rPr>
          <w:rFonts w:ascii="Georgia" w:hAnsi="Georgia"/>
          <w:sz w:val="24"/>
          <w:szCs w:val="24"/>
        </w:rPr>
        <w:t>5</w:t>
      </w:r>
      <w:r w:rsidRPr="00286FA2">
        <w:rPr>
          <w:rFonts w:ascii="Georgia" w:hAnsi="Georgia"/>
          <w:sz w:val="24"/>
          <w:szCs w:val="24"/>
        </w:rPr>
        <w:t xml:space="preserve"> году </w:t>
      </w:r>
      <w:r w:rsidRPr="00F92AB0">
        <w:rPr>
          <w:rFonts w:ascii="Georgia" w:hAnsi="Georgia"/>
          <w:sz w:val="24"/>
          <w:szCs w:val="24"/>
        </w:rPr>
        <w:t xml:space="preserve">продолжала оставаться в отрицательной области, </w:t>
      </w:r>
      <w:r>
        <w:rPr>
          <w:rFonts w:ascii="Georgia" w:hAnsi="Georgia"/>
          <w:sz w:val="24"/>
          <w:szCs w:val="24"/>
        </w:rPr>
        <w:t>сократившись на 8,4</w:t>
      </w:r>
      <w:r w:rsidRPr="00F92AB0">
        <w:rPr>
          <w:rFonts w:ascii="Georgia" w:hAnsi="Georgia"/>
          <w:sz w:val="24"/>
          <w:szCs w:val="24"/>
        </w:rPr>
        <w:t>% к предыдущему году.</w:t>
      </w:r>
      <w:r>
        <w:rPr>
          <w:sz w:val="26"/>
          <w:szCs w:val="26"/>
        </w:rPr>
        <w:t xml:space="preserve"> </w:t>
      </w:r>
    </w:p>
    <w:p w:rsidR="00DE4863" w:rsidRDefault="00DE4863" w:rsidP="00DE4863">
      <w:pPr>
        <w:autoSpaceDE w:val="0"/>
        <w:autoSpaceDN w:val="0"/>
        <w:adjustRightInd w:val="0"/>
        <w:spacing w:after="120" w:line="240" w:lineRule="auto"/>
        <w:jc w:val="both"/>
        <w:rPr>
          <w:rFonts w:ascii="Georgia" w:hAnsi="Georgia"/>
          <w:sz w:val="24"/>
          <w:szCs w:val="24"/>
        </w:rPr>
      </w:pPr>
      <w:r>
        <w:rPr>
          <w:rFonts w:ascii="Georgia" w:hAnsi="Georgia"/>
          <w:sz w:val="24"/>
          <w:szCs w:val="24"/>
        </w:rPr>
        <w:t>Снижение</w:t>
      </w:r>
      <w:r w:rsidRPr="000C64F2">
        <w:rPr>
          <w:rFonts w:ascii="Georgia" w:hAnsi="Georgia"/>
          <w:sz w:val="24"/>
          <w:szCs w:val="24"/>
        </w:rPr>
        <w:t xml:space="preserve"> </w:t>
      </w:r>
      <w:r w:rsidRPr="000C64F2">
        <w:rPr>
          <w:rFonts w:ascii="Georgia" w:hAnsi="Georgia"/>
          <w:b/>
          <w:i/>
          <w:sz w:val="24"/>
          <w:szCs w:val="24"/>
        </w:rPr>
        <w:t>промышленного производства</w:t>
      </w:r>
      <w:r w:rsidRPr="000C64F2">
        <w:rPr>
          <w:rFonts w:ascii="Georgia" w:hAnsi="Georgia"/>
          <w:sz w:val="24"/>
          <w:szCs w:val="24"/>
        </w:rPr>
        <w:t xml:space="preserve"> по итогам 201</w:t>
      </w:r>
      <w:r>
        <w:rPr>
          <w:rFonts w:ascii="Georgia" w:hAnsi="Georgia"/>
          <w:sz w:val="24"/>
          <w:szCs w:val="24"/>
        </w:rPr>
        <w:t>5</w:t>
      </w:r>
      <w:r w:rsidRPr="000C64F2">
        <w:rPr>
          <w:rFonts w:ascii="Georgia" w:hAnsi="Georgia"/>
          <w:sz w:val="24"/>
          <w:szCs w:val="24"/>
        </w:rPr>
        <w:t xml:space="preserve"> года составил</w:t>
      </w:r>
      <w:r>
        <w:rPr>
          <w:rFonts w:ascii="Georgia" w:hAnsi="Georgia"/>
          <w:sz w:val="24"/>
          <w:szCs w:val="24"/>
        </w:rPr>
        <w:t>о</w:t>
      </w:r>
      <w:r w:rsidRPr="000C64F2">
        <w:rPr>
          <w:rFonts w:ascii="Georgia" w:hAnsi="Georgia"/>
          <w:sz w:val="24"/>
          <w:szCs w:val="24"/>
        </w:rPr>
        <w:t xml:space="preserve"> </w:t>
      </w:r>
      <w:r>
        <w:rPr>
          <w:rFonts w:ascii="Georgia" w:hAnsi="Georgia"/>
          <w:sz w:val="24"/>
          <w:szCs w:val="24"/>
        </w:rPr>
        <w:t>3,4</w:t>
      </w:r>
      <w:r w:rsidRPr="000C64F2">
        <w:rPr>
          <w:rFonts w:ascii="Georgia" w:hAnsi="Georgia"/>
          <w:sz w:val="24"/>
          <w:szCs w:val="24"/>
        </w:rPr>
        <w:t>% и был</w:t>
      </w:r>
      <w:r>
        <w:rPr>
          <w:rFonts w:ascii="Georgia" w:hAnsi="Georgia"/>
          <w:sz w:val="24"/>
          <w:szCs w:val="24"/>
        </w:rPr>
        <w:t>о</w:t>
      </w:r>
      <w:r w:rsidRPr="000C64F2">
        <w:rPr>
          <w:rFonts w:ascii="Georgia" w:hAnsi="Georgia"/>
          <w:sz w:val="24"/>
          <w:szCs w:val="24"/>
        </w:rPr>
        <w:t xml:space="preserve"> обеспечен</w:t>
      </w:r>
      <w:r>
        <w:rPr>
          <w:rFonts w:ascii="Georgia" w:hAnsi="Georgia"/>
          <w:sz w:val="24"/>
          <w:szCs w:val="24"/>
        </w:rPr>
        <w:t>о</w:t>
      </w:r>
      <w:r w:rsidRPr="000C64F2">
        <w:rPr>
          <w:rFonts w:ascii="Georgia" w:hAnsi="Georgia"/>
          <w:sz w:val="24"/>
          <w:szCs w:val="24"/>
        </w:rPr>
        <w:t xml:space="preserve"> снижени</w:t>
      </w:r>
      <w:r>
        <w:rPr>
          <w:rFonts w:ascii="Georgia" w:hAnsi="Georgia"/>
          <w:sz w:val="24"/>
          <w:szCs w:val="24"/>
        </w:rPr>
        <w:t>ем</w:t>
      </w:r>
      <w:r w:rsidRPr="000C64F2">
        <w:rPr>
          <w:rFonts w:ascii="Georgia" w:hAnsi="Georgia"/>
          <w:sz w:val="24"/>
          <w:szCs w:val="24"/>
        </w:rPr>
        <w:t xml:space="preserve"> производства и распределения электроэнергии, газа и воды</w:t>
      </w:r>
      <w:r w:rsidRPr="003E4FA7">
        <w:rPr>
          <w:rFonts w:ascii="Georgia" w:hAnsi="Georgia"/>
          <w:sz w:val="24"/>
          <w:szCs w:val="24"/>
        </w:rPr>
        <w:t xml:space="preserve"> </w:t>
      </w:r>
      <w:r w:rsidRPr="000C64F2">
        <w:rPr>
          <w:rFonts w:ascii="Georgia" w:hAnsi="Georgia"/>
          <w:sz w:val="24"/>
          <w:szCs w:val="24"/>
        </w:rPr>
        <w:t>и обрабатывающих производств</w:t>
      </w:r>
      <w:r w:rsidRPr="003E4FA7">
        <w:rPr>
          <w:rFonts w:ascii="Georgia" w:hAnsi="Georgia"/>
          <w:sz w:val="24"/>
          <w:szCs w:val="24"/>
        </w:rPr>
        <w:t xml:space="preserve"> </w:t>
      </w:r>
      <w:r w:rsidRPr="000C64F2">
        <w:rPr>
          <w:rFonts w:ascii="Georgia" w:hAnsi="Georgia"/>
          <w:sz w:val="24"/>
          <w:szCs w:val="24"/>
        </w:rPr>
        <w:t>при</w:t>
      </w:r>
      <w:r w:rsidRPr="003E4FA7">
        <w:rPr>
          <w:rFonts w:ascii="Georgia" w:hAnsi="Georgia"/>
          <w:sz w:val="24"/>
          <w:szCs w:val="24"/>
        </w:rPr>
        <w:t xml:space="preserve"> </w:t>
      </w:r>
      <w:r w:rsidRPr="000C64F2">
        <w:rPr>
          <w:rFonts w:ascii="Georgia" w:hAnsi="Georgia"/>
          <w:sz w:val="24"/>
          <w:szCs w:val="24"/>
        </w:rPr>
        <w:t>рост</w:t>
      </w:r>
      <w:r>
        <w:rPr>
          <w:rFonts w:ascii="Georgia" w:hAnsi="Georgia"/>
          <w:sz w:val="24"/>
          <w:szCs w:val="24"/>
        </w:rPr>
        <w:t xml:space="preserve">е </w:t>
      </w:r>
      <w:r w:rsidRPr="000C64F2">
        <w:rPr>
          <w:rFonts w:ascii="Georgia" w:hAnsi="Georgia"/>
          <w:sz w:val="24"/>
          <w:szCs w:val="24"/>
        </w:rPr>
        <w:t>добычи полезных ископаемых.</w:t>
      </w:r>
      <w:r w:rsidRPr="00392384">
        <w:rPr>
          <w:rFonts w:ascii="Georgia" w:hAnsi="Georgia"/>
          <w:sz w:val="24"/>
          <w:szCs w:val="24"/>
        </w:rPr>
        <w:t xml:space="preserve"> </w:t>
      </w:r>
    </w:p>
    <w:p w:rsidR="00DE4863" w:rsidRPr="00DE4863" w:rsidRDefault="00DE4863" w:rsidP="00DE4863"/>
    <w:p w:rsidR="0069173C" w:rsidRDefault="0069173C" w:rsidP="0069173C">
      <w:pPr>
        <w:rPr>
          <w:rStyle w:val="relizetitle"/>
          <w:rFonts w:ascii="Georgia" w:eastAsiaTheme="majorEastAsia" w:hAnsi="Georgia"/>
          <w:b/>
          <w:bCs/>
          <w:color w:val="000000"/>
          <w:sz w:val="24"/>
          <w:szCs w:val="24"/>
        </w:rPr>
      </w:pPr>
      <w:r>
        <w:rPr>
          <w:rStyle w:val="relizetitle"/>
          <w:rFonts w:ascii="Georgia" w:hAnsi="Georgia"/>
          <w:color w:val="000000"/>
          <w:sz w:val="24"/>
          <w:szCs w:val="24"/>
        </w:rPr>
        <w:br w:type="page"/>
      </w:r>
    </w:p>
    <w:p w:rsidR="00A61760" w:rsidRPr="0006790C" w:rsidRDefault="00A61760" w:rsidP="00DA5D68">
      <w:pPr>
        <w:autoSpaceDE w:val="0"/>
        <w:autoSpaceDN w:val="0"/>
        <w:adjustRightInd w:val="0"/>
        <w:spacing w:after="0" w:line="240" w:lineRule="auto"/>
        <w:jc w:val="center"/>
        <w:rPr>
          <w:rFonts w:ascii="Georgia" w:hAnsi="Georgia"/>
          <w:b/>
          <w:sz w:val="20"/>
          <w:szCs w:val="20"/>
        </w:rPr>
      </w:pPr>
    </w:p>
    <w:p w:rsidR="00DE4863" w:rsidRDefault="00DE4863" w:rsidP="00DE4863">
      <w:pPr>
        <w:autoSpaceDE w:val="0"/>
        <w:autoSpaceDN w:val="0"/>
        <w:adjustRightInd w:val="0"/>
        <w:spacing w:after="120" w:line="240" w:lineRule="auto"/>
        <w:jc w:val="both"/>
        <w:rPr>
          <w:rFonts w:ascii="Georgia" w:hAnsi="Georgia"/>
          <w:sz w:val="24"/>
          <w:szCs w:val="24"/>
        </w:rPr>
      </w:pPr>
      <w:r>
        <w:rPr>
          <w:noProof/>
        </w:rPr>
        <w:drawing>
          <wp:inline distT="0" distB="0" distL="0" distR="0" wp14:anchorId="2E3FA41D" wp14:editId="5A87B4B1">
            <wp:extent cx="5648325" cy="4005263"/>
            <wp:effectExtent l="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E4863" w:rsidRPr="00BD6BB8" w:rsidRDefault="00DE4863" w:rsidP="00DE4863">
      <w:pPr>
        <w:spacing w:after="0" w:line="240" w:lineRule="auto"/>
        <w:jc w:val="right"/>
        <w:rPr>
          <w:rFonts w:ascii="Georgia" w:hAnsi="Georgia"/>
          <w:sz w:val="14"/>
          <w:szCs w:val="14"/>
        </w:rPr>
      </w:pPr>
      <w:r w:rsidRPr="00BD6BB8">
        <w:rPr>
          <w:rFonts w:ascii="Georgia" w:hAnsi="Georgia"/>
          <w:sz w:val="14"/>
          <w:szCs w:val="14"/>
        </w:rPr>
        <w:t>(в % к соответствующему периоду предыдущего года)</w:t>
      </w:r>
    </w:p>
    <w:p w:rsidR="008539BF" w:rsidRDefault="008539BF" w:rsidP="00DE4863">
      <w:pPr>
        <w:autoSpaceDE w:val="0"/>
        <w:autoSpaceDN w:val="0"/>
        <w:adjustRightInd w:val="0"/>
        <w:spacing w:after="0" w:line="240" w:lineRule="auto"/>
        <w:jc w:val="center"/>
        <w:rPr>
          <w:rFonts w:ascii="Georgia" w:hAnsi="Georgia"/>
          <w:b/>
          <w:sz w:val="24"/>
          <w:szCs w:val="21"/>
        </w:rPr>
      </w:pPr>
    </w:p>
    <w:p w:rsidR="00DE4863" w:rsidRPr="00A61760" w:rsidRDefault="00DE4863" w:rsidP="00DE4863">
      <w:pPr>
        <w:autoSpaceDE w:val="0"/>
        <w:autoSpaceDN w:val="0"/>
        <w:adjustRightInd w:val="0"/>
        <w:spacing w:after="0" w:line="240" w:lineRule="auto"/>
        <w:jc w:val="center"/>
        <w:rPr>
          <w:rFonts w:ascii="Georgia" w:hAnsi="Georgia"/>
          <w:b/>
          <w:sz w:val="24"/>
          <w:szCs w:val="21"/>
        </w:rPr>
      </w:pPr>
      <w:r w:rsidRPr="00A61760">
        <w:rPr>
          <w:rFonts w:ascii="Georgia" w:hAnsi="Georgia"/>
          <w:b/>
          <w:sz w:val="24"/>
          <w:szCs w:val="21"/>
        </w:rPr>
        <w:t>Динамика индекса промышленного производства по в</w:t>
      </w:r>
      <w:r>
        <w:rPr>
          <w:rFonts w:ascii="Georgia" w:hAnsi="Georgia"/>
          <w:b/>
          <w:sz w:val="24"/>
          <w:szCs w:val="21"/>
        </w:rPr>
        <w:t>идам экономической деятельности</w:t>
      </w:r>
    </w:p>
    <w:p w:rsidR="00DE4863" w:rsidRPr="008539BF" w:rsidRDefault="00DE4863" w:rsidP="00DE4863">
      <w:pPr>
        <w:autoSpaceDE w:val="0"/>
        <w:autoSpaceDN w:val="0"/>
        <w:adjustRightInd w:val="0"/>
        <w:spacing w:after="0" w:line="240" w:lineRule="auto"/>
        <w:jc w:val="center"/>
        <w:rPr>
          <w:rFonts w:ascii="Georgia" w:hAnsi="Georgia"/>
          <w:b/>
          <w:sz w:val="14"/>
          <w:szCs w:val="21"/>
        </w:rPr>
      </w:pPr>
    </w:p>
    <w:p w:rsidR="00DE4863" w:rsidRPr="00225B78" w:rsidRDefault="00DE4863" w:rsidP="00DE4863">
      <w:pPr>
        <w:pStyle w:val="1"/>
        <w:spacing w:before="0" w:line="240" w:lineRule="auto"/>
        <w:rPr>
          <w:color w:val="00B050"/>
          <w:sz w:val="20"/>
          <w:szCs w:val="20"/>
        </w:rPr>
      </w:pPr>
    </w:p>
    <w:p w:rsidR="00DE4863" w:rsidRDefault="00DE4863" w:rsidP="00C562E5">
      <w:pPr>
        <w:autoSpaceDE w:val="0"/>
        <w:autoSpaceDN w:val="0"/>
        <w:adjustRightInd w:val="0"/>
        <w:spacing w:after="0" w:line="240" w:lineRule="auto"/>
        <w:jc w:val="both"/>
        <w:rPr>
          <w:rFonts w:ascii="Calibri" w:eastAsia="Times New Roman" w:hAnsi="Calibri" w:cs="Calibri"/>
          <w:color w:val="000000"/>
        </w:rPr>
      </w:pPr>
      <w:r w:rsidRPr="00720EF7">
        <w:rPr>
          <w:rFonts w:ascii="Georgia" w:hAnsi="Georgia"/>
          <w:sz w:val="24"/>
          <w:szCs w:val="24"/>
        </w:rPr>
        <w:t xml:space="preserve">В целом за 2015 год </w:t>
      </w:r>
      <w:r w:rsidRPr="00720EF7">
        <w:rPr>
          <w:rFonts w:ascii="Georgia" w:hAnsi="Georgia"/>
          <w:b/>
          <w:i/>
          <w:sz w:val="24"/>
          <w:szCs w:val="24"/>
        </w:rPr>
        <w:t>уровень безработицы</w:t>
      </w:r>
      <w:r w:rsidRPr="00720EF7">
        <w:rPr>
          <w:rFonts w:ascii="Georgia" w:hAnsi="Georgia"/>
          <w:sz w:val="24"/>
          <w:szCs w:val="24"/>
        </w:rPr>
        <w:t xml:space="preserve"> составил 5,6 процента. Снижение численности населения в возрастных группах с экономической активностью все сильнее оказывает негативное влияние на предложение трудовых ресурсов. Рост безработицы наблюдался в конце 2015 года.</w:t>
      </w:r>
      <w:r w:rsidRPr="00720EF7">
        <w:rPr>
          <w:rFonts w:ascii="Calibri" w:eastAsia="Times New Roman" w:hAnsi="Calibri" w:cs="Calibri"/>
          <w:color w:val="000000"/>
        </w:rPr>
        <w:t xml:space="preserve"> </w:t>
      </w:r>
    </w:p>
    <w:p w:rsidR="00DE4863" w:rsidRDefault="00DE4863" w:rsidP="00C562E5">
      <w:pPr>
        <w:autoSpaceDE w:val="0"/>
        <w:autoSpaceDN w:val="0"/>
        <w:adjustRightInd w:val="0"/>
        <w:spacing w:after="0" w:line="240" w:lineRule="auto"/>
        <w:jc w:val="both"/>
        <w:rPr>
          <w:rFonts w:ascii="Georgia" w:hAnsi="Georgia"/>
          <w:sz w:val="24"/>
          <w:szCs w:val="24"/>
        </w:rPr>
      </w:pPr>
      <w:r w:rsidRPr="00720EF7">
        <w:rPr>
          <w:rFonts w:ascii="Georgia" w:hAnsi="Georgia"/>
          <w:sz w:val="24"/>
          <w:szCs w:val="24"/>
        </w:rPr>
        <w:t xml:space="preserve">Один из стратегических сегментов российской экономики - розничная торговля, завершила 2015 год с самыми худшими результатами более чем за сорокалетний период. Снижение динамики </w:t>
      </w:r>
      <w:r w:rsidRPr="00720EF7">
        <w:rPr>
          <w:rFonts w:ascii="Georgia" w:hAnsi="Georgia"/>
          <w:b/>
          <w:i/>
          <w:sz w:val="24"/>
          <w:szCs w:val="24"/>
        </w:rPr>
        <w:t>оборота розничной торговли</w:t>
      </w:r>
      <w:r w:rsidRPr="00720EF7">
        <w:rPr>
          <w:rFonts w:ascii="Georgia" w:hAnsi="Georgia"/>
          <w:sz w:val="24"/>
          <w:szCs w:val="24"/>
        </w:rPr>
        <w:t xml:space="preserve"> за 2015 год на 10% прежде всего обусловлено коррективами в изменении потребительской модели домашних хозяйств от потребления к сбережению. В результате совокупного действия этих факторов за 2015 год объем платных услуг населению снизился по сравнению с 2014 г. на 2,1%,(в 2014 году рост на 1,0%)</w:t>
      </w:r>
      <w:r>
        <w:rPr>
          <w:rFonts w:ascii="Georgia" w:hAnsi="Georgia"/>
          <w:sz w:val="24"/>
          <w:szCs w:val="24"/>
        </w:rPr>
        <w:t>.</w:t>
      </w:r>
    </w:p>
    <w:p w:rsidR="003A49E4" w:rsidRPr="00720EF7" w:rsidRDefault="003A49E4" w:rsidP="00C562E5">
      <w:pPr>
        <w:autoSpaceDE w:val="0"/>
        <w:autoSpaceDN w:val="0"/>
        <w:adjustRightInd w:val="0"/>
        <w:spacing w:after="0" w:line="240" w:lineRule="auto"/>
        <w:jc w:val="both"/>
        <w:rPr>
          <w:rFonts w:ascii="Georgia" w:hAnsi="Georgia"/>
          <w:sz w:val="24"/>
          <w:szCs w:val="24"/>
        </w:rPr>
      </w:pPr>
    </w:p>
    <w:p w:rsidR="00DE4863" w:rsidRPr="00142138" w:rsidRDefault="00DE4863" w:rsidP="00C562E5">
      <w:pPr>
        <w:autoSpaceDE w:val="0"/>
        <w:autoSpaceDN w:val="0"/>
        <w:adjustRightInd w:val="0"/>
        <w:spacing w:after="0" w:line="240" w:lineRule="auto"/>
        <w:jc w:val="both"/>
        <w:rPr>
          <w:rFonts w:ascii="Georgia" w:hAnsi="Georgia"/>
          <w:sz w:val="24"/>
          <w:szCs w:val="24"/>
        </w:rPr>
      </w:pPr>
      <w:r w:rsidRPr="00142138">
        <w:rPr>
          <w:rFonts w:ascii="Georgia" w:hAnsi="Georgia"/>
          <w:sz w:val="24"/>
          <w:szCs w:val="24"/>
        </w:rPr>
        <w:t xml:space="preserve">Годовые темпы сокращения </w:t>
      </w:r>
      <w:r w:rsidRPr="00142138">
        <w:rPr>
          <w:rFonts w:ascii="Georgia" w:hAnsi="Georgia"/>
          <w:b/>
          <w:i/>
          <w:sz w:val="24"/>
          <w:szCs w:val="24"/>
        </w:rPr>
        <w:t xml:space="preserve">реальной заработной платы </w:t>
      </w:r>
      <w:r w:rsidRPr="00142138">
        <w:rPr>
          <w:rFonts w:ascii="Georgia" w:hAnsi="Georgia"/>
          <w:sz w:val="24"/>
          <w:szCs w:val="24"/>
        </w:rPr>
        <w:t>работников организаций в декабре составили 10%, что меньше показателей за ноябрь (10,4%). В целом за январь–декабрь 2015 г. реальная заработная плата сократилась на 9,5% к соответствующему периоду 2014 года.</w:t>
      </w:r>
    </w:p>
    <w:p w:rsidR="00DE4863" w:rsidRDefault="00DE4863" w:rsidP="00C562E5">
      <w:pPr>
        <w:autoSpaceDE w:val="0"/>
        <w:autoSpaceDN w:val="0"/>
        <w:adjustRightInd w:val="0"/>
        <w:spacing w:after="0" w:line="240" w:lineRule="auto"/>
        <w:jc w:val="both"/>
        <w:rPr>
          <w:rFonts w:ascii="Georgia" w:hAnsi="Georgia"/>
          <w:sz w:val="24"/>
          <w:szCs w:val="24"/>
        </w:rPr>
      </w:pPr>
      <w:r w:rsidRPr="00142138">
        <w:rPr>
          <w:rFonts w:ascii="Georgia" w:hAnsi="Georgia"/>
          <w:sz w:val="24"/>
          <w:szCs w:val="24"/>
        </w:rPr>
        <w:t xml:space="preserve">Снижение </w:t>
      </w:r>
      <w:r w:rsidRPr="00142138">
        <w:rPr>
          <w:rFonts w:ascii="Georgia" w:hAnsi="Georgia"/>
          <w:b/>
          <w:i/>
          <w:sz w:val="24"/>
          <w:szCs w:val="24"/>
        </w:rPr>
        <w:t>реальных располагаемых доходов</w:t>
      </w:r>
      <w:r w:rsidRPr="00142138">
        <w:rPr>
          <w:rFonts w:ascii="Georgia" w:hAnsi="Georgia"/>
          <w:sz w:val="24"/>
          <w:szCs w:val="24"/>
        </w:rPr>
        <w:t xml:space="preserve"> в декабре 2015 г. составило 0,7 процента. Существенное замедление сокращения объясняется в основном низкой базой декабря 2014 года. В целом за 2015 год реальные располагаемые доходы населения снизились на 4,0% по сравнению с 2014 годом.</w:t>
      </w:r>
    </w:p>
    <w:p w:rsidR="00DE4863" w:rsidRDefault="00DE4863" w:rsidP="00DE4863">
      <w:pPr>
        <w:autoSpaceDE w:val="0"/>
        <w:autoSpaceDN w:val="0"/>
        <w:adjustRightInd w:val="0"/>
        <w:spacing w:after="0" w:line="240" w:lineRule="auto"/>
        <w:rPr>
          <w:rFonts w:ascii="Georgia" w:hAnsi="Georgia"/>
          <w:sz w:val="20"/>
          <w:szCs w:val="20"/>
        </w:rPr>
      </w:pPr>
    </w:p>
    <w:p w:rsidR="0006790C" w:rsidRPr="0006790C" w:rsidRDefault="0006790C" w:rsidP="00DE4863">
      <w:pPr>
        <w:autoSpaceDE w:val="0"/>
        <w:autoSpaceDN w:val="0"/>
        <w:adjustRightInd w:val="0"/>
        <w:spacing w:after="0" w:line="240" w:lineRule="auto"/>
        <w:rPr>
          <w:rFonts w:ascii="Georgia" w:hAnsi="Georgia"/>
          <w:sz w:val="20"/>
          <w:szCs w:val="20"/>
        </w:rPr>
      </w:pPr>
    </w:p>
    <w:p w:rsidR="00DE4863" w:rsidRDefault="00DE4863" w:rsidP="00DE4863">
      <w:pPr>
        <w:spacing w:after="120" w:line="240" w:lineRule="auto"/>
        <w:jc w:val="both"/>
        <w:rPr>
          <w:rFonts w:ascii="Georgia" w:hAnsi="Georgia"/>
          <w:sz w:val="24"/>
          <w:szCs w:val="24"/>
        </w:rPr>
      </w:pPr>
      <w:r>
        <w:rPr>
          <w:noProof/>
        </w:rPr>
        <w:drawing>
          <wp:inline distT="0" distB="0" distL="0" distR="0" wp14:anchorId="232BC112" wp14:editId="609A900D">
            <wp:extent cx="5284381" cy="274320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E4863" w:rsidRPr="00BD6BB8" w:rsidRDefault="00DE4863" w:rsidP="00DE4863">
      <w:pPr>
        <w:spacing w:after="0" w:line="240" w:lineRule="auto"/>
        <w:jc w:val="right"/>
        <w:rPr>
          <w:rFonts w:ascii="Georgia" w:hAnsi="Georgia"/>
          <w:sz w:val="14"/>
          <w:szCs w:val="14"/>
        </w:rPr>
      </w:pPr>
      <w:r w:rsidRPr="00BD6BB8">
        <w:rPr>
          <w:rFonts w:ascii="Georgia" w:hAnsi="Georgia"/>
          <w:sz w:val="14"/>
          <w:szCs w:val="14"/>
        </w:rPr>
        <w:t>(в % к соответствующему периоду предыдущего года)</w:t>
      </w:r>
    </w:p>
    <w:p w:rsidR="008539BF" w:rsidRDefault="008539BF" w:rsidP="00DE4863">
      <w:pPr>
        <w:spacing w:after="120" w:line="240" w:lineRule="auto"/>
        <w:jc w:val="center"/>
        <w:rPr>
          <w:rFonts w:ascii="Georgia" w:hAnsi="Georgia"/>
          <w:b/>
          <w:sz w:val="24"/>
          <w:szCs w:val="24"/>
        </w:rPr>
      </w:pPr>
    </w:p>
    <w:p w:rsidR="00DE4863" w:rsidRDefault="00DE4863" w:rsidP="00DE4863">
      <w:pPr>
        <w:spacing w:after="120" w:line="240" w:lineRule="auto"/>
        <w:jc w:val="center"/>
        <w:rPr>
          <w:rFonts w:ascii="Georgia" w:hAnsi="Georgia"/>
          <w:b/>
          <w:sz w:val="24"/>
          <w:szCs w:val="24"/>
        </w:rPr>
      </w:pPr>
      <w:r w:rsidRPr="00200626">
        <w:rPr>
          <w:rFonts w:ascii="Georgia" w:hAnsi="Georgia"/>
          <w:b/>
          <w:sz w:val="24"/>
          <w:szCs w:val="24"/>
        </w:rPr>
        <w:t>Прирост основных показателей реальных доходов населения</w:t>
      </w:r>
      <w:r>
        <w:rPr>
          <w:rFonts w:ascii="Georgia" w:hAnsi="Georgia"/>
          <w:b/>
          <w:sz w:val="24"/>
          <w:szCs w:val="24"/>
        </w:rPr>
        <w:t xml:space="preserve"> </w:t>
      </w:r>
    </w:p>
    <w:p w:rsidR="00DE4863" w:rsidRPr="00E81452" w:rsidRDefault="00DE4863" w:rsidP="00C562E5">
      <w:pPr>
        <w:spacing w:after="120" w:line="240" w:lineRule="auto"/>
        <w:jc w:val="both"/>
        <w:rPr>
          <w:rFonts w:ascii="Georgia" w:hAnsi="Georgia"/>
          <w:sz w:val="24"/>
          <w:szCs w:val="24"/>
        </w:rPr>
      </w:pPr>
      <w:r w:rsidRPr="00E81452">
        <w:rPr>
          <w:rFonts w:ascii="Georgia" w:hAnsi="Georgia"/>
          <w:sz w:val="24"/>
          <w:szCs w:val="24"/>
        </w:rPr>
        <w:t xml:space="preserve">В 2015 году </w:t>
      </w:r>
      <w:r w:rsidRPr="00E81452">
        <w:rPr>
          <w:rFonts w:ascii="Georgia" w:hAnsi="Georgia"/>
          <w:b/>
          <w:i/>
          <w:sz w:val="24"/>
          <w:szCs w:val="24"/>
        </w:rPr>
        <w:t>потребительская инфляция</w:t>
      </w:r>
      <w:r w:rsidRPr="00E81452">
        <w:rPr>
          <w:rFonts w:ascii="Georgia" w:hAnsi="Georgia"/>
          <w:sz w:val="24"/>
          <w:szCs w:val="24"/>
        </w:rPr>
        <w:t xml:space="preserve"> по итогам года составила 12,9</w:t>
      </w:r>
      <w:r>
        <w:rPr>
          <w:rFonts w:ascii="Georgia" w:hAnsi="Georgia"/>
          <w:sz w:val="24"/>
          <w:szCs w:val="24"/>
        </w:rPr>
        <w:t xml:space="preserve"> </w:t>
      </w:r>
      <w:r w:rsidRPr="00E81452">
        <w:rPr>
          <w:rFonts w:ascii="Georgia" w:hAnsi="Georgia"/>
          <w:sz w:val="24"/>
          <w:szCs w:val="24"/>
        </w:rPr>
        <w:t>процента. Инфляция второй год подряд находится на двухзначном уровне после того как в 2011 –2013 годах удалось ее понизить до 6–6,6 процента. В среднем за 2015 год к предыдущему году инфляция составила 15,5% после</w:t>
      </w:r>
      <w:r>
        <w:rPr>
          <w:rFonts w:ascii="Georgia" w:hAnsi="Georgia"/>
          <w:sz w:val="24"/>
          <w:szCs w:val="24"/>
        </w:rPr>
        <w:t xml:space="preserve"> </w:t>
      </w:r>
      <w:r w:rsidRPr="00E81452">
        <w:rPr>
          <w:rFonts w:ascii="Georgia" w:hAnsi="Georgia"/>
          <w:sz w:val="24"/>
          <w:szCs w:val="24"/>
        </w:rPr>
        <w:t>7,8% в 2014 году. Основной вклад в ускорение инфляции внесла девальвация рубля, начавшаяся в конце 2014 года. По оценке Минэкономразвития России, вклад девальвации в инфляцию составил в среднем за год около 8 п. пунктов.</w:t>
      </w:r>
    </w:p>
    <w:p w:rsidR="00DE4863" w:rsidRDefault="00DE4863" w:rsidP="00DE4863">
      <w:pPr>
        <w:autoSpaceDE w:val="0"/>
        <w:autoSpaceDN w:val="0"/>
        <w:adjustRightInd w:val="0"/>
        <w:spacing w:after="0" w:line="240" w:lineRule="auto"/>
        <w:jc w:val="right"/>
        <w:rPr>
          <w:rFonts w:ascii="Georgia" w:hAnsi="Georgia" w:cs="OfficinaSansBookC-Italic"/>
          <w:i/>
          <w:iCs/>
          <w:sz w:val="16"/>
          <w:szCs w:val="20"/>
        </w:rPr>
      </w:pPr>
    </w:p>
    <w:p w:rsidR="00DE4863" w:rsidRPr="00D64EFC" w:rsidRDefault="00DE4863" w:rsidP="00DE4863">
      <w:pPr>
        <w:autoSpaceDE w:val="0"/>
        <w:autoSpaceDN w:val="0"/>
        <w:adjustRightInd w:val="0"/>
        <w:spacing w:after="0" w:line="240" w:lineRule="auto"/>
        <w:jc w:val="right"/>
        <w:rPr>
          <w:rFonts w:ascii="Georgia" w:hAnsi="Georgia"/>
          <w:sz w:val="20"/>
          <w:szCs w:val="20"/>
        </w:rPr>
      </w:pPr>
      <w:r w:rsidRPr="00D64EFC">
        <w:rPr>
          <w:rFonts w:ascii="Georgia" w:hAnsi="Georgia" w:cs="OfficinaSansBookC-Italic"/>
          <w:i/>
          <w:iCs/>
          <w:sz w:val="16"/>
          <w:szCs w:val="20"/>
        </w:rPr>
        <w:t>Источник: Министерство экономического развития РФ,</w:t>
      </w:r>
      <w:r>
        <w:rPr>
          <w:rFonts w:ascii="Georgia" w:hAnsi="Georgia" w:cs="OfficinaSansBookC-Italic"/>
          <w:i/>
          <w:iCs/>
          <w:sz w:val="16"/>
          <w:szCs w:val="20"/>
        </w:rPr>
        <w:t xml:space="preserve"> </w:t>
      </w:r>
      <w:r w:rsidRPr="00D64EFC">
        <w:rPr>
          <w:rFonts w:ascii="Georgia" w:hAnsi="Georgia" w:cs="OfficinaSansBookC-Italic"/>
          <w:i/>
          <w:iCs/>
          <w:sz w:val="16"/>
          <w:szCs w:val="20"/>
        </w:rPr>
        <w:t>Мониторинг «Об итогах социально-экономического развития Российской Федерации в 201</w:t>
      </w:r>
      <w:r w:rsidRPr="00677FF5">
        <w:rPr>
          <w:rFonts w:ascii="Georgia" w:hAnsi="Georgia" w:cs="OfficinaSansBookC-Italic"/>
          <w:i/>
          <w:iCs/>
          <w:sz w:val="16"/>
          <w:szCs w:val="20"/>
        </w:rPr>
        <w:t>5</w:t>
      </w:r>
      <w:r w:rsidRPr="00D64EFC">
        <w:rPr>
          <w:rFonts w:ascii="Georgia" w:hAnsi="Georgia" w:cs="OfficinaSansBookC-Italic"/>
          <w:i/>
          <w:iCs/>
          <w:sz w:val="16"/>
          <w:szCs w:val="20"/>
        </w:rPr>
        <w:t xml:space="preserve"> году», Федеральная служба государственной статистики</w:t>
      </w:r>
    </w:p>
    <w:p w:rsidR="00DE4863" w:rsidRPr="004717B1" w:rsidRDefault="00DE4863" w:rsidP="00DE4863">
      <w:pPr>
        <w:spacing w:after="0" w:line="240" w:lineRule="auto"/>
        <w:jc w:val="both"/>
        <w:rPr>
          <w:rFonts w:ascii="Georgia" w:hAnsi="Georgia"/>
          <w:sz w:val="24"/>
          <w:szCs w:val="24"/>
        </w:rPr>
      </w:pPr>
    </w:p>
    <w:p w:rsidR="00DE4863" w:rsidRPr="00492FF0" w:rsidRDefault="00DE4863" w:rsidP="00DE4863">
      <w:pPr>
        <w:spacing w:after="120" w:line="240" w:lineRule="auto"/>
        <w:jc w:val="both"/>
        <w:rPr>
          <w:rFonts w:ascii="Georgia" w:hAnsi="Georgia"/>
          <w:sz w:val="24"/>
          <w:szCs w:val="24"/>
        </w:rPr>
      </w:pPr>
    </w:p>
    <w:p w:rsidR="00225B78" w:rsidRPr="00DA5D68" w:rsidRDefault="00225B78" w:rsidP="00225B78">
      <w:pPr>
        <w:autoSpaceDE w:val="0"/>
        <w:autoSpaceDN w:val="0"/>
        <w:adjustRightInd w:val="0"/>
        <w:spacing w:after="120" w:line="240" w:lineRule="auto"/>
        <w:jc w:val="both"/>
        <w:rPr>
          <w:rFonts w:ascii="Georgia" w:hAnsi="Georgia"/>
          <w:sz w:val="20"/>
          <w:szCs w:val="20"/>
        </w:rPr>
      </w:pPr>
    </w:p>
    <w:p w:rsidR="00225B78" w:rsidRDefault="00225B78">
      <w:pPr>
        <w:rPr>
          <w:rFonts w:asciiTheme="majorHAnsi" w:eastAsiaTheme="majorEastAsia" w:hAnsiTheme="majorHAnsi" w:cstheme="majorBidi"/>
          <w:b/>
          <w:bCs/>
          <w:noProof/>
          <w:color w:val="00B050"/>
          <w:sz w:val="40"/>
          <w:szCs w:val="28"/>
        </w:rPr>
      </w:pPr>
      <w:r>
        <w:rPr>
          <w:noProof/>
          <w:color w:val="00B050"/>
          <w:sz w:val="40"/>
        </w:rPr>
        <w:br w:type="page"/>
      </w:r>
    </w:p>
    <w:p w:rsidR="003A7679" w:rsidRPr="002551AC" w:rsidRDefault="003A7679" w:rsidP="003A7679">
      <w:pPr>
        <w:pStyle w:val="1"/>
        <w:spacing w:before="0" w:line="240" w:lineRule="auto"/>
        <w:rPr>
          <w:noProof/>
          <w:color w:val="00B050"/>
          <w:sz w:val="20"/>
          <w:szCs w:val="20"/>
        </w:rPr>
      </w:pPr>
      <w:bookmarkStart w:id="32" w:name="_Toc357000111"/>
      <w:bookmarkStart w:id="33" w:name="_Toc387759886"/>
    </w:p>
    <w:p w:rsidR="00C562E5" w:rsidRDefault="003A7679" w:rsidP="00C562E5">
      <w:pPr>
        <w:pStyle w:val="1"/>
        <w:spacing w:before="0" w:line="240" w:lineRule="auto"/>
        <w:rPr>
          <w:noProof/>
          <w:color w:val="00B050"/>
          <w:sz w:val="40"/>
          <w:szCs w:val="40"/>
        </w:rPr>
      </w:pPr>
      <w:bookmarkStart w:id="34" w:name="_Toc448145467"/>
      <w:r w:rsidRPr="00C562E5">
        <w:rPr>
          <w:noProof/>
          <w:color w:val="00B050"/>
          <w:sz w:val="40"/>
          <w:szCs w:val="40"/>
        </w:rPr>
        <w:t xml:space="preserve">Ключевые показатели банковского </w:t>
      </w:r>
      <w:bookmarkEnd w:id="32"/>
      <w:bookmarkEnd w:id="33"/>
      <w:r w:rsidR="00DE4863" w:rsidRPr="00C562E5">
        <w:rPr>
          <w:noProof/>
          <w:color w:val="00B050"/>
          <w:sz w:val="40"/>
          <w:szCs w:val="40"/>
        </w:rPr>
        <w:t>сектора в 2015 году</w:t>
      </w:r>
      <w:bookmarkEnd w:id="34"/>
    </w:p>
    <w:p w:rsidR="00C562E5" w:rsidRPr="00C562E5" w:rsidRDefault="00C562E5" w:rsidP="00C562E5">
      <w:pPr>
        <w:spacing w:after="0" w:line="240" w:lineRule="auto"/>
        <w:rPr>
          <w:sz w:val="20"/>
          <w:szCs w:val="20"/>
        </w:rPr>
      </w:pPr>
    </w:p>
    <w:p w:rsidR="00DE4863" w:rsidRDefault="00DE4863" w:rsidP="007F4E00">
      <w:pPr>
        <w:spacing w:after="0" w:line="240" w:lineRule="auto"/>
        <w:jc w:val="both"/>
        <w:rPr>
          <w:rFonts w:ascii="Georgia" w:eastAsiaTheme="minorHAnsi" w:hAnsi="Georgia"/>
          <w:sz w:val="24"/>
          <w:szCs w:val="24"/>
          <w:lang w:eastAsia="en-US"/>
        </w:rPr>
      </w:pPr>
      <w:r w:rsidRPr="00C562E5">
        <w:rPr>
          <w:rFonts w:ascii="Georgia" w:eastAsiaTheme="minorHAnsi" w:hAnsi="Georgia"/>
          <w:sz w:val="24"/>
          <w:szCs w:val="24"/>
          <w:lang w:eastAsia="en-US"/>
        </w:rPr>
        <w:t>Показатель</w:t>
      </w:r>
      <w:r w:rsidRPr="002551AC">
        <w:rPr>
          <w:rFonts w:ascii="Georgia" w:eastAsiaTheme="minorHAnsi" w:hAnsi="Georgia"/>
          <w:sz w:val="24"/>
          <w:szCs w:val="24"/>
          <w:lang w:eastAsia="en-US"/>
        </w:rPr>
        <w:t xml:space="preserve"> </w:t>
      </w:r>
      <w:r>
        <w:rPr>
          <w:rFonts w:ascii="Georgia" w:eastAsiaTheme="minorHAnsi" w:hAnsi="Georgia"/>
          <w:b/>
          <w:i/>
          <w:sz w:val="24"/>
          <w:szCs w:val="24"/>
          <w:lang w:eastAsia="en-US"/>
        </w:rPr>
        <w:t>а</w:t>
      </w:r>
      <w:r w:rsidRPr="00364C10">
        <w:rPr>
          <w:rFonts w:ascii="Georgia" w:eastAsiaTheme="minorHAnsi" w:hAnsi="Georgia"/>
          <w:b/>
          <w:i/>
          <w:sz w:val="24"/>
          <w:szCs w:val="24"/>
          <w:lang w:eastAsia="en-US"/>
        </w:rPr>
        <w:t>ктивы-нетто</w:t>
      </w:r>
      <w:r w:rsidRPr="002551AC">
        <w:rPr>
          <w:rFonts w:ascii="Georgia" w:eastAsiaTheme="minorHAnsi" w:hAnsi="Georgia"/>
          <w:sz w:val="24"/>
          <w:szCs w:val="24"/>
          <w:lang w:eastAsia="en-US"/>
        </w:rPr>
        <w:t xml:space="preserve"> банковского сектора РФ на 01.01.201</w:t>
      </w:r>
      <w:r>
        <w:rPr>
          <w:rFonts w:ascii="Georgia" w:eastAsiaTheme="minorHAnsi" w:hAnsi="Georgia"/>
          <w:sz w:val="24"/>
          <w:szCs w:val="24"/>
          <w:lang w:eastAsia="en-US"/>
        </w:rPr>
        <w:t xml:space="preserve">6 </w:t>
      </w:r>
      <w:r w:rsidRPr="002551AC">
        <w:rPr>
          <w:rFonts w:ascii="Georgia" w:eastAsiaTheme="minorHAnsi" w:hAnsi="Georgia"/>
          <w:sz w:val="24"/>
          <w:szCs w:val="24"/>
          <w:lang w:eastAsia="en-US"/>
        </w:rPr>
        <w:t>г. составил</w:t>
      </w:r>
      <w:r>
        <w:rPr>
          <w:rFonts w:ascii="Georgia" w:eastAsiaTheme="minorHAnsi" w:hAnsi="Georgia"/>
          <w:sz w:val="24"/>
          <w:szCs w:val="24"/>
          <w:lang w:eastAsia="en-US"/>
        </w:rPr>
        <w:t xml:space="preserve"> 82 260</w:t>
      </w:r>
      <w:r w:rsidRPr="002551AC">
        <w:rPr>
          <w:rFonts w:ascii="Georgia" w:eastAsiaTheme="minorHAnsi" w:hAnsi="Georgia"/>
          <w:sz w:val="24"/>
          <w:szCs w:val="24"/>
          <w:lang w:eastAsia="en-US"/>
        </w:rPr>
        <w:t xml:space="preserve"> млрд. руб. и вырос на </w:t>
      </w:r>
      <w:r>
        <w:rPr>
          <w:rFonts w:ascii="Georgia" w:eastAsiaTheme="minorHAnsi" w:hAnsi="Georgia"/>
          <w:sz w:val="24"/>
          <w:szCs w:val="24"/>
          <w:lang w:eastAsia="en-US"/>
        </w:rPr>
        <w:t>5,7</w:t>
      </w:r>
      <w:r w:rsidRPr="002551AC">
        <w:rPr>
          <w:rFonts w:ascii="Georgia" w:eastAsiaTheme="minorHAnsi" w:hAnsi="Georgia"/>
          <w:sz w:val="24"/>
          <w:szCs w:val="24"/>
          <w:lang w:eastAsia="en-US"/>
        </w:rPr>
        <w:t>% с начала 201</w:t>
      </w:r>
      <w:r>
        <w:rPr>
          <w:rFonts w:ascii="Georgia" w:eastAsiaTheme="minorHAnsi" w:hAnsi="Georgia"/>
          <w:sz w:val="24"/>
          <w:szCs w:val="24"/>
          <w:lang w:eastAsia="en-US"/>
        </w:rPr>
        <w:t>5</w:t>
      </w:r>
      <w:r w:rsidRPr="002551AC">
        <w:rPr>
          <w:rFonts w:ascii="Georgia" w:eastAsiaTheme="minorHAnsi" w:hAnsi="Georgia"/>
          <w:sz w:val="24"/>
          <w:szCs w:val="24"/>
          <w:lang w:eastAsia="en-US"/>
        </w:rPr>
        <w:t xml:space="preserve"> года. Наибольшее влияние на изменение показателя Активы-нетто оказали Банки TOP-20. Они обеспечили</w:t>
      </w:r>
      <w:r>
        <w:rPr>
          <w:rFonts w:ascii="Georgia" w:eastAsiaTheme="minorHAnsi" w:hAnsi="Georgia"/>
          <w:sz w:val="24"/>
          <w:szCs w:val="24"/>
          <w:lang w:eastAsia="en-US"/>
        </w:rPr>
        <w:t xml:space="preserve"> 4 334</w:t>
      </w:r>
      <w:r w:rsidRPr="002551AC">
        <w:rPr>
          <w:rFonts w:ascii="Georgia" w:eastAsiaTheme="minorHAnsi" w:hAnsi="Georgia"/>
          <w:sz w:val="24"/>
          <w:szCs w:val="24"/>
          <w:lang w:eastAsia="en-US"/>
        </w:rPr>
        <w:t xml:space="preserve"> млрд. руб. притока по РФ (совокупный приток по РФ составил </w:t>
      </w:r>
      <w:r>
        <w:rPr>
          <w:rFonts w:ascii="Georgia" w:eastAsiaTheme="minorHAnsi" w:hAnsi="Georgia"/>
          <w:sz w:val="24"/>
          <w:szCs w:val="24"/>
          <w:lang w:eastAsia="en-US"/>
        </w:rPr>
        <w:t>4 427</w:t>
      </w:r>
      <w:r w:rsidRPr="002551AC">
        <w:rPr>
          <w:rFonts w:ascii="Georgia" w:eastAsiaTheme="minorHAnsi" w:hAnsi="Georgia"/>
          <w:sz w:val="24"/>
          <w:szCs w:val="24"/>
          <w:lang w:eastAsia="en-US"/>
        </w:rPr>
        <w:t xml:space="preserve"> млрд. руб</w:t>
      </w:r>
      <w:r>
        <w:rPr>
          <w:rFonts w:ascii="Georgia" w:eastAsiaTheme="minorHAnsi" w:hAnsi="Georgia"/>
          <w:sz w:val="24"/>
          <w:szCs w:val="24"/>
          <w:lang w:eastAsia="en-US"/>
        </w:rPr>
        <w:t>.</w:t>
      </w:r>
      <w:r w:rsidRPr="002551AC">
        <w:rPr>
          <w:rFonts w:ascii="Georgia" w:eastAsiaTheme="minorHAnsi" w:hAnsi="Georgia"/>
          <w:sz w:val="24"/>
          <w:szCs w:val="24"/>
          <w:lang w:eastAsia="en-US"/>
        </w:rPr>
        <w:t xml:space="preserve">). Наилучшую динамику с начала года в размере </w:t>
      </w:r>
      <w:r>
        <w:rPr>
          <w:rFonts w:ascii="Georgia" w:eastAsiaTheme="minorHAnsi" w:hAnsi="Georgia"/>
          <w:sz w:val="24"/>
          <w:szCs w:val="24"/>
          <w:lang w:eastAsia="en-US"/>
        </w:rPr>
        <w:t xml:space="preserve">9,6% демонстрируют Банки TOP </w:t>
      </w:r>
      <w:r w:rsidRPr="002551AC">
        <w:rPr>
          <w:rFonts w:ascii="Georgia" w:eastAsiaTheme="minorHAnsi" w:hAnsi="Georgia"/>
          <w:sz w:val="24"/>
          <w:szCs w:val="24"/>
          <w:lang w:eastAsia="en-US"/>
        </w:rPr>
        <w:t>2</w:t>
      </w:r>
      <w:r>
        <w:rPr>
          <w:rFonts w:ascii="Georgia" w:eastAsiaTheme="minorHAnsi" w:hAnsi="Georgia"/>
          <w:sz w:val="24"/>
          <w:szCs w:val="24"/>
          <w:lang w:eastAsia="en-US"/>
        </w:rPr>
        <w:t>1-50</w:t>
      </w:r>
      <w:r w:rsidRPr="002551AC">
        <w:rPr>
          <w:rFonts w:ascii="Georgia" w:eastAsiaTheme="minorHAnsi" w:hAnsi="Georgia"/>
          <w:sz w:val="24"/>
          <w:szCs w:val="24"/>
          <w:lang w:eastAsia="en-US"/>
        </w:rPr>
        <w:t>.</w:t>
      </w:r>
    </w:p>
    <w:p w:rsidR="00DE4863" w:rsidRPr="002551AC" w:rsidRDefault="00DE4863" w:rsidP="007F4E00">
      <w:pPr>
        <w:pStyle w:val="text"/>
        <w:spacing w:after="120"/>
        <w:jc w:val="both"/>
        <w:rPr>
          <w:rFonts w:ascii="Georgia" w:eastAsiaTheme="minorHAnsi" w:hAnsi="Georgia" w:cstheme="minorBidi"/>
          <w:sz w:val="24"/>
          <w:szCs w:val="24"/>
          <w:lang w:eastAsia="en-US"/>
        </w:rPr>
      </w:pPr>
      <w:r w:rsidRPr="00364C10">
        <w:rPr>
          <w:rFonts w:ascii="Georgia" w:eastAsiaTheme="minorHAnsi" w:hAnsi="Georgia" w:cstheme="minorBidi"/>
          <w:b/>
          <w:i/>
          <w:sz w:val="24"/>
          <w:szCs w:val="24"/>
          <w:lang w:eastAsia="en-US"/>
        </w:rPr>
        <w:t>Кредитный портфель</w:t>
      </w:r>
      <w:r w:rsidRPr="002551AC">
        <w:rPr>
          <w:rFonts w:ascii="Georgia" w:eastAsiaTheme="minorHAnsi" w:hAnsi="Georgia" w:cstheme="minorBidi"/>
          <w:sz w:val="24"/>
          <w:szCs w:val="24"/>
          <w:lang w:eastAsia="en-US"/>
        </w:rPr>
        <w:t xml:space="preserve"> банковского сектора РФ на 01.01.201</w:t>
      </w:r>
      <w:r>
        <w:rPr>
          <w:rFonts w:ascii="Georgia" w:eastAsiaTheme="minorHAnsi" w:hAnsi="Georgia" w:cstheme="minorBidi"/>
          <w:sz w:val="24"/>
          <w:szCs w:val="24"/>
          <w:lang w:eastAsia="en-US"/>
        </w:rPr>
        <w:t xml:space="preserve">6 </w:t>
      </w:r>
      <w:r w:rsidRPr="002551AC">
        <w:rPr>
          <w:rFonts w:ascii="Georgia" w:eastAsiaTheme="minorHAnsi" w:hAnsi="Georgia" w:cstheme="minorBidi"/>
          <w:sz w:val="24"/>
          <w:szCs w:val="24"/>
          <w:lang w:eastAsia="en-US"/>
        </w:rPr>
        <w:t>г. составил</w:t>
      </w:r>
      <w:r>
        <w:rPr>
          <w:rFonts w:ascii="Georgia" w:eastAsiaTheme="minorHAnsi" w:hAnsi="Georgia" w:cstheme="minorBidi"/>
          <w:sz w:val="24"/>
          <w:szCs w:val="24"/>
          <w:lang w:eastAsia="en-US"/>
        </w:rPr>
        <w:t xml:space="preserve"> 43 534</w:t>
      </w:r>
      <w:r w:rsidRPr="002551AC">
        <w:rPr>
          <w:rFonts w:ascii="Georgia" w:eastAsiaTheme="minorHAnsi" w:hAnsi="Georgia" w:cstheme="minorBidi"/>
          <w:sz w:val="24"/>
          <w:szCs w:val="24"/>
          <w:lang w:eastAsia="en-US"/>
        </w:rPr>
        <w:t xml:space="preserve"> млрд. руб. и вырос на </w:t>
      </w:r>
      <w:r>
        <w:rPr>
          <w:rFonts w:ascii="Georgia" w:eastAsiaTheme="minorHAnsi" w:hAnsi="Georgia" w:cstheme="minorBidi"/>
          <w:sz w:val="24"/>
          <w:szCs w:val="24"/>
          <w:lang w:eastAsia="en-US"/>
        </w:rPr>
        <w:t>3,0</w:t>
      </w:r>
      <w:r w:rsidRPr="002551AC">
        <w:rPr>
          <w:rFonts w:ascii="Georgia" w:eastAsiaTheme="minorHAnsi" w:hAnsi="Georgia" w:cstheme="minorBidi"/>
          <w:sz w:val="24"/>
          <w:szCs w:val="24"/>
          <w:lang w:eastAsia="en-US"/>
        </w:rPr>
        <w:t>% с начала 201</w:t>
      </w:r>
      <w:r>
        <w:rPr>
          <w:rFonts w:ascii="Georgia" w:eastAsiaTheme="minorHAnsi" w:hAnsi="Georgia" w:cstheme="minorBidi"/>
          <w:sz w:val="24"/>
          <w:szCs w:val="24"/>
          <w:lang w:eastAsia="en-US"/>
        </w:rPr>
        <w:t>5</w:t>
      </w:r>
      <w:r w:rsidRPr="002551AC">
        <w:rPr>
          <w:rFonts w:ascii="Georgia" w:eastAsiaTheme="minorHAnsi" w:hAnsi="Georgia" w:cstheme="minorBidi"/>
          <w:sz w:val="24"/>
          <w:szCs w:val="24"/>
          <w:lang w:eastAsia="en-US"/>
        </w:rPr>
        <w:t xml:space="preserve"> года. </w:t>
      </w:r>
      <w:r w:rsidRPr="00364C10">
        <w:rPr>
          <w:rFonts w:ascii="Georgia" w:eastAsiaTheme="minorHAnsi" w:hAnsi="Georgia" w:cstheme="minorBidi"/>
          <w:b/>
          <w:i/>
          <w:sz w:val="24"/>
          <w:szCs w:val="24"/>
          <w:lang w:eastAsia="en-US"/>
        </w:rPr>
        <w:t>Корпоративный кредитный портфель</w:t>
      </w:r>
      <w:r w:rsidRPr="002551AC">
        <w:rPr>
          <w:rFonts w:ascii="Georgia" w:eastAsiaTheme="minorHAnsi" w:hAnsi="Georgia" w:cstheme="minorBidi"/>
          <w:sz w:val="24"/>
          <w:szCs w:val="24"/>
          <w:lang w:eastAsia="en-US"/>
        </w:rPr>
        <w:t xml:space="preserve"> банковского сектора РФ на 01.01.201</w:t>
      </w:r>
      <w:r>
        <w:rPr>
          <w:rFonts w:ascii="Georgia" w:eastAsiaTheme="minorHAnsi" w:hAnsi="Georgia" w:cstheme="minorBidi"/>
          <w:sz w:val="24"/>
          <w:szCs w:val="24"/>
          <w:lang w:eastAsia="en-US"/>
        </w:rPr>
        <w:t xml:space="preserve">6 </w:t>
      </w:r>
      <w:r w:rsidRPr="002551AC">
        <w:rPr>
          <w:rFonts w:ascii="Georgia" w:eastAsiaTheme="minorHAnsi" w:hAnsi="Georgia" w:cstheme="minorBidi"/>
          <w:sz w:val="24"/>
          <w:szCs w:val="24"/>
          <w:lang w:eastAsia="en-US"/>
        </w:rPr>
        <w:t xml:space="preserve">г. составил </w:t>
      </w:r>
      <w:r>
        <w:rPr>
          <w:rFonts w:ascii="Georgia" w:eastAsiaTheme="minorHAnsi" w:hAnsi="Georgia" w:cstheme="minorBidi"/>
          <w:sz w:val="24"/>
          <w:szCs w:val="24"/>
          <w:lang w:eastAsia="en-US"/>
        </w:rPr>
        <w:t>33 790</w:t>
      </w:r>
      <w:r w:rsidRPr="002551AC">
        <w:rPr>
          <w:rFonts w:ascii="Georgia" w:eastAsiaTheme="minorHAnsi" w:hAnsi="Georgia" w:cstheme="minorBidi"/>
          <w:sz w:val="24"/>
          <w:szCs w:val="24"/>
          <w:lang w:eastAsia="en-US"/>
        </w:rPr>
        <w:t xml:space="preserve"> млрд. руб. и вырос на 3</w:t>
      </w:r>
      <w:r>
        <w:rPr>
          <w:rFonts w:ascii="Georgia" w:eastAsiaTheme="minorHAnsi" w:hAnsi="Georgia" w:cstheme="minorBidi"/>
          <w:sz w:val="24"/>
          <w:szCs w:val="24"/>
          <w:lang w:eastAsia="en-US"/>
        </w:rPr>
        <w:t>,8</w:t>
      </w:r>
      <w:r w:rsidRPr="002551AC">
        <w:rPr>
          <w:rFonts w:ascii="Georgia" w:eastAsiaTheme="minorHAnsi" w:hAnsi="Georgia" w:cstheme="minorBidi"/>
          <w:sz w:val="24"/>
          <w:szCs w:val="24"/>
          <w:lang w:eastAsia="en-US"/>
        </w:rPr>
        <w:t>% с начала 201</w:t>
      </w:r>
      <w:r>
        <w:rPr>
          <w:rFonts w:ascii="Georgia" w:eastAsiaTheme="minorHAnsi" w:hAnsi="Georgia" w:cstheme="minorBidi"/>
          <w:sz w:val="24"/>
          <w:szCs w:val="24"/>
          <w:lang w:eastAsia="en-US"/>
        </w:rPr>
        <w:t>5</w:t>
      </w:r>
      <w:r w:rsidRPr="002551AC">
        <w:rPr>
          <w:rFonts w:ascii="Georgia" w:eastAsiaTheme="minorHAnsi" w:hAnsi="Georgia" w:cstheme="minorBidi"/>
          <w:sz w:val="24"/>
          <w:szCs w:val="24"/>
          <w:lang w:eastAsia="en-US"/>
        </w:rPr>
        <w:t xml:space="preserve"> года. </w:t>
      </w:r>
      <w:r w:rsidRPr="00364C10">
        <w:rPr>
          <w:rFonts w:ascii="Georgia" w:eastAsiaTheme="minorHAnsi" w:hAnsi="Georgia" w:cstheme="minorBidi"/>
          <w:b/>
          <w:i/>
          <w:sz w:val="24"/>
          <w:szCs w:val="24"/>
          <w:lang w:eastAsia="en-US"/>
        </w:rPr>
        <w:t>Розничный кредитный портфель</w:t>
      </w:r>
      <w:r w:rsidRPr="002551AC">
        <w:rPr>
          <w:rFonts w:ascii="Georgia" w:eastAsiaTheme="minorHAnsi" w:hAnsi="Georgia" w:cstheme="minorBidi"/>
          <w:sz w:val="24"/>
          <w:szCs w:val="24"/>
          <w:lang w:eastAsia="en-US"/>
        </w:rPr>
        <w:t xml:space="preserve"> банковского сектора РФ на 01.01.201</w:t>
      </w:r>
      <w:r>
        <w:rPr>
          <w:rFonts w:ascii="Georgia" w:eastAsiaTheme="minorHAnsi" w:hAnsi="Georgia" w:cstheme="minorBidi"/>
          <w:sz w:val="24"/>
          <w:szCs w:val="24"/>
          <w:lang w:eastAsia="en-US"/>
        </w:rPr>
        <w:t xml:space="preserve">6 </w:t>
      </w:r>
      <w:r w:rsidRPr="002551AC">
        <w:rPr>
          <w:rFonts w:ascii="Georgia" w:eastAsiaTheme="minorHAnsi" w:hAnsi="Georgia" w:cstheme="minorBidi"/>
          <w:sz w:val="24"/>
          <w:szCs w:val="24"/>
          <w:lang w:eastAsia="en-US"/>
        </w:rPr>
        <w:t xml:space="preserve">г. составил </w:t>
      </w:r>
      <w:r>
        <w:rPr>
          <w:rFonts w:ascii="Georgia" w:eastAsiaTheme="minorHAnsi" w:hAnsi="Georgia" w:cstheme="minorBidi"/>
          <w:sz w:val="24"/>
          <w:szCs w:val="24"/>
          <w:lang w:eastAsia="en-US"/>
        </w:rPr>
        <w:t>9 744</w:t>
      </w:r>
      <w:r w:rsidRPr="002551AC">
        <w:rPr>
          <w:rFonts w:ascii="Georgia" w:eastAsiaTheme="minorHAnsi" w:hAnsi="Georgia" w:cstheme="minorBidi"/>
          <w:sz w:val="24"/>
          <w:szCs w:val="24"/>
          <w:lang w:eastAsia="en-US"/>
        </w:rPr>
        <w:t xml:space="preserve"> млрд. руб. и вырос на </w:t>
      </w:r>
      <w:r>
        <w:rPr>
          <w:rFonts w:ascii="Georgia" w:eastAsiaTheme="minorHAnsi" w:hAnsi="Georgia" w:cstheme="minorBidi"/>
          <w:sz w:val="24"/>
          <w:szCs w:val="24"/>
          <w:lang w:eastAsia="en-US"/>
        </w:rPr>
        <w:t>0,2</w:t>
      </w:r>
      <w:r w:rsidRPr="002551AC">
        <w:rPr>
          <w:rFonts w:ascii="Georgia" w:eastAsiaTheme="minorHAnsi" w:hAnsi="Georgia" w:cstheme="minorBidi"/>
          <w:sz w:val="24"/>
          <w:szCs w:val="24"/>
          <w:lang w:eastAsia="en-US"/>
        </w:rPr>
        <w:t>% с начала 201</w:t>
      </w:r>
      <w:r>
        <w:rPr>
          <w:rFonts w:ascii="Georgia" w:eastAsiaTheme="minorHAnsi" w:hAnsi="Georgia" w:cstheme="minorBidi"/>
          <w:sz w:val="24"/>
          <w:szCs w:val="24"/>
          <w:lang w:eastAsia="en-US"/>
        </w:rPr>
        <w:t>5</w:t>
      </w:r>
      <w:r w:rsidRPr="002551AC">
        <w:rPr>
          <w:rFonts w:ascii="Georgia" w:eastAsiaTheme="minorHAnsi" w:hAnsi="Georgia" w:cstheme="minorBidi"/>
          <w:sz w:val="24"/>
          <w:szCs w:val="24"/>
          <w:lang w:eastAsia="en-US"/>
        </w:rPr>
        <w:t xml:space="preserve"> года.</w:t>
      </w:r>
    </w:p>
    <w:p w:rsidR="00DE4863" w:rsidRDefault="00DE4863" w:rsidP="00DE4863">
      <w:pPr>
        <w:spacing w:after="0" w:line="240" w:lineRule="auto"/>
        <w:jc w:val="center"/>
        <w:rPr>
          <w:rFonts w:ascii="Georgia" w:hAnsi="Georgia"/>
          <w:b/>
          <w:i/>
          <w:color w:val="365F91" w:themeColor="accent1" w:themeShade="BF"/>
          <w:sz w:val="28"/>
          <w:szCs w:val="24"/>
        </w:rPr>
      </w:pPr>
      <w:r w:rsidRPr="00D06AAD">
        <w:rPr>
          <w:rFonts w:ascii="Georgia" w:hAnsi="Georgia"/>
          <w:b/>
          <w:i/>
          <w:color w:val="365F91" w:themeColor="accent1" w:themeShade="BF"/>
          <w:sz w:val="28"/>
          <w:szCs w:val="24"/>
        </w:rPr>
        <w:t>Динамика активов-нетто на банковском рынке РФ и РТ, млн. руб.*</w:t>
      </w:r>
    </w:p>
    <w:tbl>
      <w:tblPr>
        <w:tblW w:w="8597" w:type="dxa"/>
        <w:tblInd w:w="93" w:type="dxa"/>
        <w:tblLook w:val="04A0" w:firstRow="1" w:lastRow="0" w:firstColumn="1" w:lastColumn="0" w:noHBand="0" w:noVBand="1"/>
      </w:tblPr>
      <w:tblGrid>
        <w:gridCol w:w="3234"/>
        <w:gridCol w:w="1309"/>
        <w:gridCol w:w="1319"/>
        <w:gridCol w:w="1508"/>
        <w:gridCol w:w="1227"/>
      </w:tblGrid>
      <w:tr w:rsidR="00DE4863" w:rsidRPr="002B52A1" w:rsidTr="00C562E5">
        <w:trPr>
          <w:trHeight w:val="280"/>
        </w:trPr>
        <w:tc>
          <w:tcPr>
            <w:tcW w:w="3234" w:type="dxa"/>
            <w:vMerge w:val="restart"/>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Сегмент рынка</w:t>
            </w:r>
          </w:p>
        </w:tc>
        <w:tc>
          <w:tcPr>
            <w:tcW w:w="1309" w:type="dxa"/>
            <w:vMerge w:val="restart"/>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01.01.2015</w:t>
            </w:r>
          </w:p>
        </w:tc>
        <w:tc>
          <w:tcPr>
            <w:tcW w:w="1319" w:type="dxa"/>
            <w:vMerge w:val="restart"/>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01.01.2016</w:t>
            </w:r>
          </w:p>
        </w:tc>
        <w:tc>
          <w:tcPr>
            <w:tcW w:w="2735" w:type="dxa"/>
            <w:gridSpan w:val="2"/>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Изменение за 2015 год</w:t>
            </w:r>
          </w:p>
        </w:tc>
      </w:tr>
      <w:tr w:rsidR="00DE4863" w:rsidRPr="002B52A1" w:rsidTr="00C562E5">
        <w:trPr>
          <w:trHeight w:val="468"/>
        </w:trPr>
        <w:tc>
          <w:tcPr>
            <w:tcW w:w="3234" w:type="dxa"/>
            <w:vMerge/>
            <w:tcBorders>
              <w:top w:val="nil"/>
              <w:left w:val="nil"/>
              <w:bottom w:val="single" w:sz="8" w:space="0" w:color="95B3D7"/>
              <w:right w:val="nil"/>
            </w:tcBorders>
            <w:vAlign w:val="center"/>
            <w:hideMark/>
          </w:tcPr>
          <w:p w:rsidR="00DE4863" w:rsidRPr="002B52A1" w:rsidRDefault="00DE4863" w:rsidP="00EE317B">
            <w:pPr>
              <w:spacing w:after="0" w:line="240" w:lineRule="auto"/>
              <w:rPr>
                <w:rFonts w:ascii="Georgia" w:eastAsia="Times New Roman" w:hAnsi="Georgia" w:cs="Calibri"/>
                <w:b/>
                <w:bCs/>
                <w:color w:val="1F497D"/>
                <w:sz w:val="20"/>
                <w:szCs w:val="20"/>
              </w:rPr>
            </w:pPr>
          </w:p>
        </w:tc>
        <w:tc>
          <w:tcPr>
            <w:tcW w:w="1309" w:type="dxa"/>
            <w:vMerge/>
            <w:tcBorders>
              <w:top w:val="nil"/>
              <w:left w:val="nil"/>
              <w:bottom w:val="single" w:sz="8" w:space="0" w:color="95B3D7"/>
              <w:right w:val="nil"/>
            </w:tcBorders>
            <w:vAlign w:val="center"/>
            <w:hideMark/>
          </w:tcPr>
          <w:p w:rsidR="00DE4863" w:rsidRPr="002B52A1" w:rsidRDefault="00DE4863" w:rsidP="00EE317B">
            <w:pPr>
              <w:spacing w:after="0" w:line="240" w:lineRule="auto"/>
              <w:rPr>
                <w:rFonts w:ascii="Georgia" w:eastAsia="Times New Roman" w:hAnsi="Georgia" w:cs="Calibri"/>
                <w:b/>
                <w:bCs/>
                <w:color w:val="1F497D"/>
                <w:sz w:val="20"/>
                <w:szCs w:val="20"/>
              </w:rPr>
            </w:pPr>
          </w:p>
        </w:tc>
        <w:tc>
          <w:tcPr>
            <w:tcW w:w="1319" w:type="dxa"/>
            <w:vMerge/>
            <w:tcBorders>
              <w:top w:val="nil"/>
              <w:left w:val="nil"/>
              <w:bottom w:val="single" w:sz="8" w:space="0" w:color="95B3D7"/>
              <w:right w:val="nil"/>
            </w:tcBorders>
            <w:vAlign w:val="center"/>
            <w:hideMark/>
          </w:tcPr>
          <w:p w:rsidR="00DE4863" w:rsidRPr="002B52A1" w:rsidRDefault="00DE4863" w:rsidP="00EE317B">
            <w:pPr>
              <w:spacing w:after="0" w:line="240" w:lineRule="auto"/>
              <w:rPr>
                <w:rFonts w:ascii="Georgia" w:eastAsia="Times New Roman" w:hAnsi="Georgia" w:cs="Calibri"/>
                <w:b/>
                <w:bCs/>
                <w:color w:val="1F497D"/>
                <w:sz w:val="20"/>
                <w:szCs w:val="20"/>
              </w:rPr>
            </w:pPr>
          </w:p>
        </w:tc>
        <w:tc>
          <w:tcPr>
            <w:tcW w:w="1508" w:type="dxa"/>
            <w:tcBorders>
              <w:top w:val="nil"/>
              <w:left w:val="nil"/>
              <w:bottom w:val="single" w:sz="8" w:space="0" w:color="95B3D7"/>
              <w:right w:val="nil"/>
            </w:tcBorders>
            <w:shd w:val="clear" w:color="auto" w:fill="auto"/>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абсолютное изменение</w:t>
            </w:r>
          </w:p>
        </w:tc>
        <w:tc>
          <w:tcPr>
            <w:tcW w:w="1227" w:type="dxa"/>
            <w:tcBorders>
              <w:top w:val="nil"/>
              <w:left w:val="nil"/>
              <w:bottom w:val="single" w:sz="8" w:space="0" w:color="95B3D7"/>
              <w:right w:val="nil"/>
            </w:tcBorders>
            <w:shd w:val="clear" w:color="auto" w:fill="auto"/>
            <w:vAlign w:val="center"/>
            <w:hideMark/>
          </w:tcPr>
          <w:p w:rsidR="00DE4863" w:rsidRPr="002B52A1" w:rsidRDefault="00DE4863" w:rsidP="00EE317B">
            <w:pPr>
              <w:spacing w:after="0" w:line="240" w:lineRule="auto"/>
              <w:jc w:val="center"/>
              <w:rPr>
                <w:rFonts w:ascii="Georgia" w:eastAsia="Times New Roman" w:hAnsi="Georgia" w:cs="Calibri"/>
                <w:b/>
                <w:bCs/>
                <w:color w:val="1F497D"/>
                <w:sz w:val="20"/>
                <w:szCs w:val="20"/>
              </w:rPr>
            </w:pPr>
            <w:r w:rsidRPr="002B52A1">
              <w:rPr>
                <w:rFonts w:ascii="Georgia" w:eastAsia="Times New Roman" w:hAnsi="Georgia" w:cs="Calibri"/>
                <w:b/>
                <w:bCs/>
                <w:color w:val="1F497D"/>
                <w:sz w:val="20"/>
                <w:szCs w:val="20"/>
              </w:rPr>
              <w:t>темп прироста</w:t>
            </w:r>
          </w:p>
        </w:tc>
      </w:tr>
      <w:tr w:rsidR="00DE4863" w:rsidRPr="002B52A1" w:rsidTr="00C562E5">
        <w:trPr>
          <w:trHeight w:val="280"/>
        </w:trPr>
        <w:tc>
          <w:tcPr>
            <w:tcW w:w="3234"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Банки РФ</w:t>
            </w:r>
          </w:p>
        </w:tc>
        <w:tc>
          <w:tcPr>
            <w:tcW w:w="1309"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77 832 625</w:t>
            </w:r>
          </w:p>
        </w:tc>
        <w:tc>
          <w:tcPr>
            <w:tcW w:w="1319"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82 260 050</w:t>
            </w:r>
          </w:p>
        </w:tc>
        <w:tc>
          <w:tcPr>
            <w:tcW w:w="1508"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4 427 425</w:t>
            </w:r>
          </w:p>
        </w:tc>
        <w:tc>
          <w:tcPr>
            <w:tcW w:w="1227"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5,69%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Банки TOP-20</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58 700 778</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63 034 751</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4 333 973</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7,38%</w:t>
            </w:r>
          </w:p>
        </w:tc>
      </w:tr>
      <w:tr w:rsidR="00DE4863" w:rsidRPr="002B52A1" w:rsidTr="00C562E5">
        <w:trPr>
          <w:trHeight w:val="141"/>
        </w:trPr>
        <w:tc>
          <w:tcPr>
            <w:tcW w:w="3234"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ГОСБАНКИ</w:t>
            </w:r>
          </w:p>
        </w:tc>
        <w:tc>
          <w:tcPr>
            <w:tcW w:w="1309"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43 789 372</w:t>
            </w:r>
          </w:p>
        </w:tc>
        <w:tc>
          <w:tcPr>
            <w:tcW w:w="1319"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46 576 611</w:t>
            </w:r>
          </w:p>
        </w:tc>
        <w:tc>
          <w:tcPr>
            <w:tcW w:w="1508"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2 787 239</w:t>
            </w:r>
          </w:p>
        </w:tc>
        <w:tc>
          <w:tcPr>
            <w:tcW w:w="1227"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6,37%</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95B3D7"/>
                <w:sz w:val="20"/>
                <w:szCs w:val="20"/>
              </w:rPr>
            </w:pPr>
            <w:r w:rsidRPr="002B52A1">
              <w:rPr>
                <w:rFonts w:ascii="Georgia" w:eastAsia="Times New Roman" w:hAnsi="Georgia" w:cs="Calibri"/>
                <w:color w:val="95B3D7"/>
                <w:sz w:val="20"/>
                <w:szCs w:val="20"/>
              </w:rPr>
              <w:t>СБЕРБАНК РОССИИ</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22 798 895</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24 021 773</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1 222 878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5,36%</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95B3D7"/>
                <w:sz w:val="20"/>
                <w:szCs w:val="20"/>
              </w:rPr>
            </w:pPr>
            <w:r w:rsidRPr="002B52A1">
              <w:rPr>
                <w:rFonts w:ascii="Georgia" w:eastAsia="Times New Roman" w:hAnsi="Georgia" w:cs="Calibri"/>
                <w:color w:val="95B3D7"/>
                <w:sz w:val="20"/>
                <w:szCs w:val="20"/>
              </w:rPr>
              <w:t>ГАЗПРОМБАНК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4 790 368</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5 251 607</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461 239</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9,63%</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95B3D7"/>
                <w:sz w:val="20"/>
                <w:szCs w:val="20"/>
              </w:rPr>
            </w:pPr>
            <w:r w:rsidRPr="002B52A1">
              <w:rPr>
                <w:rFonts w:ascii="Georgia" w:eastAsia="Times New Roman" w:hAnsi="Georgia" w:cs="Calibri"/>
                <w:color w:val="95B3D7"/>
                <w:sz w:val="20"/>
                <w:szCs w:val="20"/>
              </w:rPr>
              <w:t>РОССЕЛЬХОЗБАНК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2 242 069</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2 722 427</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480 358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21,42%</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95B3D7"/>
                <w:sz w:val="20"/>
                <w:szCs w:val="20"/>
              </w:rPr>
            </w:pPr>
            <w:r w:rsidRPr="002B52A1">
              <w:rPr>
                <w:rFonts w:ascii="Georgia" w:eastAsia="Times New Roman" w:hAnsi="Georgia" w:cs="Calibri"/>
                <w:color w:val="95B3D7"/>
                <w:sz w:val="20"/>
                <w:szCs w:val="20"/>
              </w:rPr>
              <w:t>ГРУППА ВТБ</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13 958 040</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14 580 804</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622 764</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4,46%</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i/>
                <w:iCs/>
                <w:color w:val="95B3D7"/>
                <w:sz w:val="20"/>
                <w:szCs w:val="18"/>
              </w:rPr>
            </w:pPr>
            <w:r w:rsidRPr="002B52A1">
              <w:rPr>
                <w:rFonts w:ascii="Georgia" w:eastAsia="Times New Roman" w:hAnsi="Georgia" w:cs="Calibri"/>
                <w:i/>
                <w:iCs/>
                <w:color w:val="95B3D7"/>
                <w:sz w:val="20"/>
                <w:szCs w:val="18"/>
              </w:rPr>
              <w:t>ВТБ</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8 572 513</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9 643 477</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1 070 964</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12,49%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i/>
                <w:iCs/>
                <w:color w:val="95B3D7"/>
                <w:sz w:val="20"/>
                <w:szCs w:val="18"/>
              </w:rPr>
            </w:pPr>
            <w:r w:rsidRPr="002B52A1">
              <w:rPr>
                <w:rFonts w:ascii="Georgia" w:eastAsia="Times New Roman" w:hAnsi="Georgia" w:cs="Calibri"/>
                <w:i/>
                <w:iCs/>
                <w:color w:val="95B3D7"/>
                <w:sz w:val="20"/>
                <w:szCs w:val="18"/>
              </w:rPr>
              <w:t>ВТБ 24</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2 914 594</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3 021 992</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107 398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3,68%</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i/>
                <w:iCs/>
                <w:color w:val="95B3D7"/>
                <w:sz w:val="20"/>
                <w:szCs w:val="18"/>
              </w:rPr>
            </w:pPr>
            <w:r w:rsidRPr="002B52A1">
              <w:rPr>
                <w:rFonts w:ascii="Georgia" w:eastAsia="Times New Roman" w:hAnsi="Georgia" w:cs="Calibri"/>
                <w:i/>
                <w:iCs/>
                <w:color w:val="95B3D7"/>
                <w:sz w:val="20"/>
                <w:szCs w:val="18"/>
              </w:rPr>
              <w:t>БАНК МОСКВЫ</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2 470 932</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1 915 334</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-555 598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95B3D7"/>
                <w:sz w:val="20"/>
                <w:szCs w:val="20"/>
              </w:rPr>
            </w:pPr>
            <w:r w:rsidRPr="002B52A1">
              <w:rPr>
                <w:rFonts w:ascii="Georgia" w:eastAsia="Times New Roman" w:hAnsi="Georgia" w:cs="Calibri"/>
                <w:color w:val="95B3D7"/>
                <w:sz w:val="20"/>
                <w:szCs w:val="20"/>
              </w:rPr>
              <w:t>-22,49%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Банки TOP 21-50</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8 259 609</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9 049 014</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789 405</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9,56%</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Банки TOP 51-100</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5 035 753</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4 911 780</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-123 973</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-2,46%</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TOP 101-200</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3 223 081</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3 107 887</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-115 194</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-3,57%</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Банки, не вошедшие</w:t>
            </w:r>
            <w:r w:rsidRPr="009B519B">
              <w:rPr>
                <w:rFonts w:ascii="Georgia" w:eastAsia="Times New Roman" w:hAnsi="Georgia" w:cs="Calibri"/>
                <w:color w:val="1F497D"/>
                <w:sz w:val="20"/>
                <w:szCs w:val="20"/>
              </w:rPr>
              <w:t xml:space="preserve"> </w:t>
            </w:r>
            <w:r w:rsidRPr="002B52A1">
              <w:rPr>
                <w:rFonts w:ascii="Georgia" w:eastAsia="Times New Roman" w:hAnsi="Georgia" w:cs="Calibri"/>
                <w:color w:val="1F497D"/>
                <w:sz w:val="20"/>
                <w:szCs w:val="20"/>
              </w:rPr>
              <w:t>в TOP-200</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2 613 404</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2 156 619</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-456 785</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-17,48%</w:t>
            </w:r>
          </w:p>
        </w:tc>
      </w:tr>
      <w:tr w:rsidR="00DE4863" w:rsidRPr="002B52A1" w:rsidTr="00C562E5">
        <w:trPr>
          <w:trHeight w:val="280"/>
        </w:trPr>
        <w:tc>
          <w:tcPr>
            <w:tcW w:w="3234"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Банки РТ</w:t>
            </w:r>
          </w:p>
        </w:tc>
        <w:tc>
          <w:tcPr>
            <w:tcW w:w="1309"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885 642</w:t>
            </w:r>
          </w:p>
        </w:tc>
        <w:tc>
          <w:tcPr>
            <w:tcW w:w="1319"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972 262</w:t>
            </w:r>
          </w:p>
        </w:tc>
        <w:tc>
          <w:tcPr>
            <w:tcW w:w="1508"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86 619</w:t>
            </w:r>
          </w:p>
        </w:tc>
        <w:tc>
          <w:tcPr>
            <w:tcW w:w="1227" w:type="dxa"/>
            <w:tcBorders>
              <w:top w:val="nil"/>
              <w:left w:val="nil"/>
              <w:bottom w:val="single" w:sz="8" w:space="0" w:color="95B3D7"/>
              <w:right w:val="nil"/>
            </w:tcBorders>
            <w:shd w:val="clear" w:color="000000" w:fill="95B3D7"/>
            <w:noWrap/>
            <w:vAlign w:val="center"/>
            <w:hideMark/>
          </w:tcPr>
          <w:p w:rsidR="00DE4863" w:rsidRPr="002B52A1" w:rsidRDefault="00DE4863" w:rsidP="00EE317B">
            <w:pPr>
              <w:spacing w:after="0" w:line="240" w:lineRule="auto"/>
              <w:jc w:val="right"/>
              <w:rPr>
                <w:rFonts w:ascii="Georgia" w:eastAsia="Times New Roman" w:hAnsi="Georgia" w:cs="Calibri"/>
                <w:b/>
                <w:bCs/>
                <w:color w:val="FFFFFF"/>
                <w:sz w:val="20"/>
                <w:szCs w:val="20"/>
              </w:rPr>
            </w:pPr>
            <w:r w:rsidRPr="002B52A1">
              <w:rPr>
                <w:rFonts w:ascii="Georgia" w:eastAsia="Times New Roman" w:hAnsi="Georgia" w:cs="Calibri"/>
                <w:b/>
                <w:bCs/>
                <w:color w:val="FFFFFF"/>
                <w:sz w:val="20"/>
                <w:szCs w:val="20"/>
              </w:rPr>
              <w:t>9,78%</w:t>
            </w:r>
          </w:p>
        </w:tc>
      </w:tr>
      <w:tr w:rsidR="00DE4863" w:rsidRPr="002B52A1" w:rsidTr="00C562E5">
        <w:trPr>
          <w:trHeight w:val="280"/>
        </w:trPr>
        <w:tc>
          <w:tcPr>
            <w:tcW w:w="3234"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TOP 9 Банков РТ</w:t>
            </w:r>
          </w:p>
        </w:tc>
        <w:tc>
          <w:tcPr>
            <w:tcW w:w="1309"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834 499</w:t>
            </w:r>
          </w:p>
        </w:tc>
        <w:tc>
          <w:tcPr>
            <w:tcW w:w="1319"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910 619</w:t>
            </w:r>
          </w:p>
        </w:tc>
        <w:tc>
          <w:tcPr>
            <w:tcW w:w="1508"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76 120</w:t>
            </w:r>
          </w:p>
        </w:tc>
        <w:tc>
          <w:tcPr>
            <w:tcW w:w="1227" w:type="dxa"/>
            <w:tcBorders>
              <w:top w:val="nil"/>
              <w:left w:val="nil"/>
              <w:bottom w:val="single" w:sz="8" w:space="0" w:color="95B3D7"/>
              <w:right w:val="nil"/>
            </w:tcBorders>
            <w:shd w:val="clear" w:color="000000" w:fill="DBE5F1"/>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9,12%</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АК БАРС</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469 280</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495 611</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26 331</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5,61%</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ТАТФОНДБАНК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172 608</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198 344</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25 736</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14,91%</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АВЕРС</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47 594</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61 822</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14 228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29,89%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b/>
                <w:bCs/>
                <w:i/>
                <w:iCs/>
                <w:color w:val="00B050"/>
                <w:sz w:val="20"/>
                <w:szCs w:val="20"/>
              </w:rPr>
            </w:pPr>
            <w:r w:rsidRPr="002B52A1">
              <w:rPr>
                <w:rFonts w:ascii="Georgia" w:eastAsia="Times New Roman" w:hAnsi="Georgia" w:cs="Calibri"/>
                <w:b/>
                <w:bCs/>
                <w:i/>
                <w:iCs/>
                <w:color w:val="00B050"/>
                <w:sz w:val="20"/>
                <w:szCs w:val="20"/>
              </w:rPr>
              <w:t>ИНТЕХБАНК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b/>
                <w:bCs/>
                <w:i/>
                <w:iCs/>
                <w:color w:val="00B050"/>
                <w:sz w:val="20"/>
                <w:szCs w:val="20"/>
              </w:rPr>
            </w:pPr>
            <w:r w:rsidRPr="002B52A1">
              <w:rPr>
                <w:rFonts w:ascii="Georgia" w:eastAsia="Times New Roman" w:hAnsi="Georgia" w:cs="Calibri"/>
                <w:b/>
                <w:bCs/>
                <w:i/>
                <w:iCs/>
                <w:color w:val="00B050"/>
                <w:sz w:val="20"/>
                <w:szCs w:val="20"/>
              </w:rPr>
              <w:t>28 700</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b/>
                <w:bCs/>
                <w:i/>
                <w:iCs/>
                <w:color w:val="00B050"/>
                <w:sz w:val="20"/>
                <w:szCs w:val="20"/>
              </w:rPr>
            </w:pPr>
            <w:r w:rsidRPr="002B52A1">
              <w:rPr>
                <w:rFonts w:ascii="Georgia" w:eastAsia="Times New Roman" w:hAnsi="Georgia" w:cs="Calibri"/>
                <w:b/>
                <w:bCs/>
                <w:i/>
                <w:iCs/>
                <w:color w:val="00B050"/>
                <w:sz w:val="20"/>
                <w:szCs w:val="20"/>
              </w:rPr>
              <w:t>32 000</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b/>
                <w:bCs/>
                <w:i/>
                <w:iCs/>
                <w:color w:val="00B050"/>
                <w:sz w:val="20"/>
                <w:szCs w:val="20"/>
              </w:rPr>
            </w:pPr>
            <w:r w:rsidRPr="002B52A1">
              <w:rPr>
                <w:rFonts w:ascii="Georgia" w:eastAsia="Times New Roman" w:hAnsi="Georgia" w:cs="Calibri"/>
                <w:b/>
                <w:bCs/>
                <w:i/>
                <w:iCs/>
                <w:color w:val="00B050"/>
                <w:sz w:val="20"/>
                <w:szCs w:val="20"/>
              </w:rPr>
              <w:t>3 301</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b/>
                <w:bCs/>
                <w:i/>
                <w:iCs/>
                <w:color w:val="00B050"/>
                <w:sz w:val="20"/>
                <w:szCs w:val="20"/>
              </w:rPr>
            </w:pPr>
            <w:r w:rsidRPr="002B52A1">
              <w:rPr>
                <w:rFonts w:ascii="Georgia" w:eastAsia="Times New Roman" w:hAnsi="Georgia" w:cs="Calibri"/>
                <w:b/>
                <w:bCs/>
                <w:i/>
                <w:iCs/>
                <w:color w:val="00B050"/>
                <w:sz w:val="20"/>
                <w:szCs w:val="20"/>
              </w:rPr>
              <w:t>11,50%</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АКИБАНК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25 985</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26 373</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388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1,49%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ДЕВОН-КРЕДИТ</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23 819</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26 317</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2 498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10,49%</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ТИМЕР 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22 072</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25 018</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2 946</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13,35%</w:t>
            </w:r>
          </w:p>
        </w:tc>
      </w:tr>
      <w:tr w:rsidR="00DE4863" w:rsidRPr="002B52A1" w:rsidTr="00C562E5">
        <w:trPr>
          <w:trHeight w:val="280"/>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СПУРТ</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24 215</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23 709</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-505</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-2,09%</w:t>
            </w:r>
          </w:p>
        </w:tc>
      </w:tr>
      <w:tr w:rsidR="00DE4863" w:rsidRPr="002B52A1" w:rsidTr="00C562E5">
        <w:trPr>
          <w:trHeight w:val="147"/>
        </w:trPr>
        <w:tc>
          <w:tcPr>
            <w:tcW w:w="3234"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rPr>
                <w:rFonts w:ascii="Georgia" w:eastAsia="Times New Roman" w:hAnsi="Georgia" w:cs="Calibri"/>
                <w:color w:val="1F497D"/>
                <w:sz w:val="20"/>
                <w:szCs w:val="20"/>
              </w:rPr>
            </w:pPr>
            <w:r w:rsidRPr="002B52A1">
              <w:rPr>
                <w:rFonts w:ascii="Georgia" w:eastAsia="Times New Roman" w:hAnsi="Georgia" w:cs="Calibri"/>
                <w:color w:val="1F497D"/>
                <w:sz w:val="20"/>
                <w:szCs w:val="20"/>
              </w:rPr>
              <w:t>ЭНЕРГОБАНК</w:t>
            </w:r>
          </w:p>
        </w:tc>
        <w:tc>
          <w:tcPr>
            <w:tcW w:w="130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20 227</w:t>
            </w:r>
          </w:p>
        </w:tc>
        <w:tc>
          <w:tcPr>
            <w:tcW w:w="1319"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21 424</w:t>
            </w:r>
          </w:p>
        </w:tc>
        <w:tc>
          <w:tcPr>
            <w:tcW w:w="1508"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1 198</w:t>
            </w:r>
          </w:p>
        </w:tc>
        <w:tc>
          <w:tcPr>
            <w:tcW w:w="1227" w:type="dxa"/>
            <w:tcBorders>
              <w:top w:val="nil"/>
              <w:left w:val="nil"/>
              <w:bottom w:val="single" w:sz="8" w:space="0" w:color="95B3D7"/>
              <w:right w:val="nil"/>
            </w:tcBorders>
            <w:shd w:val="clear" w:color="auto" w:fill="auto"/>
            <w:noWrap/>
            <w:vAlign w:val="center"/>
            <w:hideMark/>
          </w:tcPr>
          <w:p w:rsidR="00DE4863" w:rsidRPr="002B52A1" w:rsidRDefault="00DE4863" w:rsidP="00EE317B">
            <w:pPr>
              <w:spacing w:after="0" w:line="240" w:lineRule="auto"/>
              <w:jc w:val="right"/>
              <w:rPr>
                <w:rFonts w:ascii="Georgia" w:eastAsia="Times New Roman" w:hAnsi="Georgia" w:cs="Calibri"/>
                <w:color w:val="1F497D"/>
                <w:sz w:val="20"/>
                <w:szCs w:val="20"/>
              </w:rPr>
            </w:pPr>
            <w:r w:rsidRPr="002B52A1">
              <w:rPr>
                <w:rFonts w:ascii="Georgia" w:eastAsia="Times New Roman" w:hAnsi="Georgia" w:cs="Calibri"/>
                <w:color w:val="1F497D"/>
                <w:sz w:val="20"/>
                <w:szCs w:val="20"/>
              </w:rPr>
              <w:t>5,92%</w:t>
            </w:r>
          </w:p>
        </w:tc>
      </w:tr>
    </w:tbl>
    <w:p w:rsidR="003A7679" w:rsidRDefault="00DE4863" w:rsidP="00EE317B">
      <w:pPr>
        <w:spacing w:before="120" w:after="120" w:line="240" w:lineRule="auto"/>
        <w:rPr>
          <w:rFonts w:asciiTheme="majorHAnsi" w:eastAsiaTheme="majorEastAsia" w:hAnsiTheme="majorHAnsi" w:cstheme="majorBidi"/>
          <w:b/>
          <w:bCs/>
          <w:noProof/>
          <w:color w:val="00B050"/>
          <w:sz w:val="20"/>
          <w:szCs w:val="20"/>
        </w:rPr>
      </w:pPr>
      <w:r w:rsidRPr="00A604FE">
        <w:rPr>
          <w:rFonts w:ascii="Georgia" w:hAnsi="Georgia"/>
          <w:i/>
          <w:sz w:val="16"/>
          <w:szCs w:val="16"/>
        </w:rPr>
        <w:t>* по данным отчетности банков с сайта ЦБ РФ</w:t>
      </w:r>
      <w:r w:rsidR="003A7679">
        <w:rPr>
          <w:noProof/>
          <w:color w:val="00B050"/>
          <w:sz w:val="20"/>
          <w:szCs w:val="20"/>
        </w:rPr>
        <w:br w:type="page"/>
      </w:r>
    </w:p>
    <w:p w:rsidR="00591947" w:rsidRPr="002551AC" w:rsidRDefault="00591947" w:rsidP="00591947">
      <w:pPr>
        <w:pStyle w:val="1"/>
        <w:spacing w:before="0" w:line="240" w:lineRule="auto"/>
        <w:rPr>
          <w:noProof/>
          <w:color w:val="00B050"/>
          <w:sz w:val="20"/>
          <w:szCs w:val="20"/>
        </w:rPr>
      </w:pPr>
      <w:bookmarkStart w:id="35" w:name="_Toc357000145"/>
      <w:bookmarkStart w:id="36" w:name="_Toc387759925"/>
    </w:p>
    <w:p w:rsidR="00591947" w:rsidRDefault="00591947" w:rsidP="00591947">
      <w:pPr>
        <w:pStyle w:val="1"/>
        <w:spacing w:before="0" w:line="240" w:lineRule="auto"/>
        <w:rPr>
          <w:noProof/>
          <w:color w:val="00B050"/>
          <w:sz w:val="40"/>
          <w:szCs w:val="40"/>
        </w:rPr>
      </w:pPr>
      <w:bookmarkStart w:id="37" w:name="_Toc448145468"/>
      <w:r>
        <w:rPr>
          <w:noProof/>
          <w:color w:val="00B050"/>
          <w:sz w:val="40"/>
          <w:szCs w:val="40"/>
        </w:rPr>
        <w:t xml:space="preserve">Перспективы развития </w:t>
      </w:r>
      <w:r w:rsidR="00425945">
        <w:rPr>
          <w:noProof/>
          <w:color w:val="00B050"/>
          <w:sz w:val="40"/>
          <w:szCs w:val="40"/>
        </w:rPr>
        <w:t>Банка в 201</w:t>
      </w:r>
      <w:r w:rsidR="00DE4863">
        <w:rPr>
          <w:noProof/>
          <w:color w:val="00B050"/>
          <w:sz w:val="40"/>
          <w:szCs w:val="40"/>
        </w:rPr>
        <w:t>6</w:t>
      </w:r>
      <w:r w:rsidR="00425945">
        <w:rPr>
          <w:noProof/>
          <w:color w:val="00B050"/>
          <w:sz w:val="40"/>
          <w:szCs w:val="40"/>
        </w:rPr>
        <w:t xml:space="preserve"> году</w:t>
      </w:r>
      <w:bookmarkEnd w:id="37"/>
    </w:p>
    <w:p w:rsidR="00591947" w:rsidRDefault="00591947" w:rsidP="00591947">
      <w:pPr>
        <w:spacing w:after="0" w:line="240" w:lineRule="auto"/>
        <w:rPr>
          <w:sz w:val="20"/>
          <w:szCs w:val="20"/>
        </w:rPr>
      </w:pPr>
    </w:p>
    <w:bookmarkEnd w:id="35"/>
    <w:bookmarkEnd w:id="36"/>
    <w:p w:rsidR="009A2C34" w:rsidRPr="009A2C34" w:rsidRDefault="009A2C34" w:rsidP="009A2C34">
      <w:pPr>
        <w:autoSpaceDE w:val="0"/>
        <w:autoSpaceDN w:val="0"/>
        <w:adjustRightInd w:val="0"/>
        <w:spacing w:after="120" w:line="240" w:lineRule="auto"/>
        <w:jc w:val="both"/>
        <w:rPr>
          <w:rFonts w:ascii="Georgia" w:hAnsi="Georgia"/>
          <w:sz w:val="24"/>
          <w:szCs w:val="24"/>
        </w:rPr>
      </w:pPr>
      <w:r w:rsidRPr="009A2C34">
        <w:rPr>
          <w:rFonts w:ascii="Georgia" w:hAnsi="Georgia"/>
          <w:sz w:val="24"/>
          <w:szCs w:val="24"/>
        </w:rPr>
        <w:t>Макроэкономическая ситуация в 2016 году сложится следующим образом:</w:t>
      </w:r>
    </w:p>
    <w:p w:rsidR="009A2C34" w:rsidRPr="009A2C34" w:rsidRDefault="009A2C34" w:rsidP="009A2C34">
      <w:pPr>
        <w:pStyle w:val="ae"/>
        <w:numPr>
          <w:ilvl w:val="0"/>
          <w:numId w:val="17"/>
        </w:numPr>
        <w:autoSpaceDE w:val="0"/>
        <w:autoSpaceDN w:val="0"/>
        <w:adjustRightInd w:val="0"/>
        <w:spacing w:after="120" w:line="240" w:lineRule="auto"/>
        <w:jc w:val="both"/>
        <w:rPr>
          <w:rFonts w:ascii="Georgia" w:hAnsi="Georgia"/>
          <w:sz w:val="24"/>
          <w:szCs w:val="24"/>
        </w:rPr>
      </w:pPr>
      <w:r w:rsidRPr="009A2C34">
        <w:rPr>
          <w:rFonts w:ascii="Georgia" w:hAnsi="Georgia"/>
          <w:sz w:val="24"/>
          <w:szCs w:val="24"/>
        </w:rPr>
        <w:t>Снижение ВВП России продолжится в 2016 году, что соответствует ожиданиям по снижению спроса на внутреннем рынке.</w:t>
      </w:r>
    </w:p>
    <w:p w:rsidR="009A2C34" w:rsidRPr="009A2C34" w:rsidRDefault="009A2C34" w:rsidP="009A2C34">
      <w:pPr>
        <w:pStyle w:val="ae"/>
        <w:numPr>
          <w:ilvl w:val="0"/>
          <w:numId w:val="17"/>
        </w:numPr>
        <w:autoSpaceDE w:val="0"/>
        <w:autoSpaceDN w:val="0"/>
        <w:adjustRightInd w:val="0"/>
        <w:spacing w:after="120" w:line="240" w:lineRule="auto"/>
        <w:jc w:val="both"/>
        <w:rPr>
          <w:rFonts w:ascii="Georgia" w:hAnsi="Georgia"/>
          <w:sz w:val="24"/>
          <w:szCs w:val="24"/>
        </w:rPr>
      </w:pPr>
      <w:r w:rsidRPr="009A2C34">
        <w:rPr>
          <w:rFonts w:ascii="Georgia" w:hAnsi="Georgia"/>
          <w:sz w:val="24"/>
          <w:szCs w:val="24"/>
        </w:rPr>
        <w:t>Ожидается продолжение спада инвестиций на фоне высокой экономической неопределенности.</w:t>
      </w:r>
    </w:p>
    <w:p w:rsidR="009A2C34" w:rsidRPr="009A2C34" w:rsidRDefault="009A2C34" w:rsidP="009A2C34">
      <w:pPr>
        <w:pStyle w:val="ae"/>
        <w:numPr>
          <w:ilvl w:val="0"/>
          <w:numId w:val="17"/>
        </w:numPr>
        <w:autoSpaceDE w:val="0"/>
        <w:autoSpaceDN w:val="0"/>
        <w:adjustRightInd w:val="0"/>
        <w:spacing w:after="120" w:line="240" w:lineRule="auto"/>
        <w:jc w:val="both"/>
        <w:rPr>
          <w:rFonts w:ascii="Georgia" w:hAnsi="Georgia"/>
          <w:sz w:val="24"/>
          <w:szCs w:val="24"/>
        </w:rPr>
      </w:pPr>
      <w:r w:rsidRPr="009A2C34">
        <w:rPr>
          <w:rFonts w:ascii="Georgia" w:hAnsi="Georgia"/>
          <w:sz w:val="24"/>
          <w:szCs w:val="24"/>
        </w:rPr>
        <w:t>Инфляция продолжит замедляться в 2016 году на фоне сохранения спроса на низком уровне и постепенного снижения процентных ставок.</w:t>
      </w:r>
    </w:p>
    <w:p w:rsidR="009A2C34" w:rsidRPr="009A2C34" w:rsidRDefault="009A2C34" w:rsidP="009A2C34">
      <w:pPr>
        <w:pStyle w:val="ae"/>
        <w:numPr>
          <w:ilvl w:val="0"/>
          <w:numId w:val="17"/>
        </w:numPr>
        <w:autoSpaceDE w:val="0"/>
        <w:autoSpaceDN w:val="0"/>
        <w:adjustRightInd w:val="0"/>
        <w:spacing w:after="120" w:line="240" w:lineRule="auto"/>
        <w:jc w:val="both"/>
        <w:rPr>
          <w:rFonts w:ascii="Georgia" w:hAnsi="Georgia"/>
          <w:sz w:val="24"/>
          <w:szCs w:val="24"/>
        </w:rPr>
      </w:pPr>
      <w:r w:rsidRPr="009A2C34">
        <w:rPr>
          <w:rFonts w:ascii="Georgia" w:hAnsi="Georgia"/>
          <w:sz w:val="24"/>
          <w:szCs w:val="24"/>
        </w:rPr>
        <w:t>Чистый отток капитала в 2016 году снизится до $46 млрд против $57 млрд в 2015 году.</w:t>
      </w:r>
    </w:p>
    <w:tbl>
      <w:tblPr>
        <w:tblW w:w="9840" w:type="dxa"/>
        <w:tblInd w:w="108" w:type="dxa"/>
        <w:tblLook w:val="04A0" w:firstRow="1" w:lastRow="0" w:firstColumn="1" w:lastColumn="0" w:noHBand="0" w:noVBand="1"/>
      </w:tblPr>
      <w:tblGrid>
        <w:gridCol w:w="4678"/>
        <w:gridCol w:w="2552"/>
        <w:gridCol w:w="2610"/>
      </w:tblGrid>
      <w:tr w:rsidR="009A2C34" w:rsidRPr="009A2C34" w:rsidTr="00374BD0">
        <w:trPr>
          <w:trHeight w:val="1155"/>
        </w:trPr>
        <w:tc>
          <w:tcPr>
            <w:tcW w:w="4678" w:type="dxa"/>
            <w:tcBorders>
              <w:top w:val="nil"/>
              <w:left w:val="nil"/>
              <w:bottom w:val="single" w:sz="8" w:space="0" w:color="95B3D7"/>
              <w:right w:val="nil"/>
            </w:tcBorders>
            <w:shd w:val="clear" w:color="000000" w:fill="DBE5F1"/>
            <w:vAlign w:val="center"/>
            <w:hideMark/>
          </w:tcPr>
          <w:p w:rsidR="009A2C34" w:rsidRPr="009A2C34" w:rsidRDefault="009A2C34" w:rsidP="00374BD0">
            <w:pPr>
              <w:spacing w:after="0" w:line="240" w:lineRule="auto"/>
              <w:jc w:val="center"/>
              <w:rPr>
                <w:rFonts w:ascii="Georgia" w:eastAsia="Times New Roman" w:hAnsi="Georgia" w:cs="Calibri"/>
                <w:b/>
                <w:bCs/>
                <w:color w:val="1F497D"/>
                <w:sz w:val="23"/>
                <w:szCs w:val="23"/>
              </w:rPr>
            </w:pPr>
            <w:r w:rsidRPr="009A2C34">
              <w:rPr>
                <w:rFonts w:ascii="Georgia" w:eastAsia="Times New Roman" w:hAnsi="Georgia" w:cs="Calibri"/>
                <w:b/>
                <w:bCs/>
                <w:color w:val="1F497D"/>
                <w:sz w:val="23"/>
                <w:szCs w:val="23"/>
              </w:rPr>
              <w:t> </w:t>
            </w:r>
          </w:p>
        </w:tc>
        <w:tc>
          <w:tcPr>
            <w:tcW w:w="2552" w:type="dxa"/>
            <w:tcBorders>
              <w:top w:val="nil"/>
              <w:left w:val="nil"/>
              <w:bottom w:val="single" w:sz="8" w:space="0" w:color="95B3D7"/>
              <w:right w:val="nil"/>
            </w:tcBorders>
            <w:shd w:val="clear" w:color="000000" w:fill="DBE5F1"/>
            <w:vAlign w:val="center"/>
            <w:hideMark/>
          </w:tcPr>
          <w:p w:rsidR="009A2C34" w:rsidRPr="009A2C34" w:rsidRDefault="009A2C34" w:rsidP="00374BD0">
            <w:pPr>
              <w:spacing w:after="0" w:line="240" w:lineRule="auto"/>
              <w:jc w:val="center"/>
              <w:rPr>
                <w:rFonts w:ascii="Georgia" w:eastAsia="Times New Roman" w:hAnsi="Georgia" w:cs="Calibri"/>
                <w:b/>
                <w:bCs/>
                <w:color w:val="1F497D"/>
                <w:sz w:val="23"/>
                <w:szCs w:val="23"/>
              </w:rPr>
            </w:pPr>
            <w:r w:rsidRPr="009A2C34">
              <w:rPr>
                <w:rFonts w:ascii="Georgia" w:eastAsia="Times New Roman" w:hAnsi="Georgia" w:cs="Calibri"/>
                <w:b/>
                <w:bCs/>
                <w:color w:val="1F497D"/>
                <w:sz w:val="23"/>
                <w:szCs w:val="23"/>
              </w:rPr>
              <w:t> </w:t>
            </w:r>
          </w:p>
        </w:tc>
        <w:tc>
          <w:tcPr>
            <w:tcW w:w="2610" w:type="dxa"/>
            <w:tcBorders>
              <w:top w:val="nil"/>
              <w:left w:val="nil"/>
              <w:bottom w:val="single" w:sz="8" w:space="0" w:color="95B3D7"/>
              <w:right w:val="nil"/>
            </w:tcBorders>
            <w:shd w:val="clear" w:color="000000" w:fill="DBE5F1"/>
            <w:vAlign w:val="center"/>
            <w:hideMark/>
          </w:tcPr>
          <w:p w:rsidR="009A2C34" w:rsidRPr="009A2C34" w:rsidRDefault="009A2C34" w:rsidP="00374BD0">
            <w:pPr>
              <w:spacing w:after="0" w:line="240" w:lineRule="auto"/>
              <w:jc w:val="center"/>
              <w:rPr>
                <w:rFonts w:ascii="Georgia" w:eastAsia="Times New Roman" w:hAnsi="Georgia" w:cs="Calibri"/>
                <w:b/>
                <w:bCs/>
                <w:color w:val="1F497D"/>
                <w:sz w:val="23"/>
                <w:szCs w:val="23"/>
              </w:rPr>
            </w:pPr>
            <w:r w:rsidRPr="009A2C34">
              <w:rPr>
                <w:rFonts w:ascii="Georgia" w:eastAsia="Times New Roman" w:hAnsi="Georgia" w:cs="Calibri"/>
                <w:b/>
                <w:bCs/>
                <w:color w:val="1F497D"/>
                <w:sz w:val="23"/>
                <w:szCs w:val="23"/>
              </w:rPr>
              <w:t>Нефть $35 (Urals, средняя)</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РОСТ ВВП</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средний,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-2</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USD/RUB</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средний, руб.</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77</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ИНФЛЯЦИЯ</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средняя,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9</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ОТТОК КАПИТАЛА</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за период, $ млрд.</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-46</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ДИНАМИКА КОРПОРАТИВНЫХ КРЕДИТОВ</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номинальный,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~6-8</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ДИНАМИКА РОЗНИЧНЫХ КРЕДИТОВ</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номинальный,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 -3-5</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ДИНАМИКА РОЗНИЧНЫХ ДЕПОЗИТОВ</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номинальный,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~16-18</w:t>
            </w:r>
          </w:p>
        </w:tc>
      </w:tr>
      <w:tr w:rsidR="009A2C34" w:rsidRPr="009A2C34" w:rsidTr="00374BD0">
        <w:trPr>
          <w:trHeight w:val="315"/>
        </w:trPr>
        <w:tc>
          <w:tcPr>
            <w:tcW w:w="4678"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rPr>
                <w:rFonts w:ascii="Georgia" w:eastAsia="Times New Roman" w:hAnsi="Georgia" w:cs="Calibri"/>
                <w:color w:val="1F497D"/>
                <w:sz w:val="23"/>
                <w:szCs w:val="23"/>
              </w:rPr>
            </w:pPr>
            <w:r w:rsidRPr="009A2C34">
              <w:rPr>
                <w:rFonts w:ascii="Georgia" w:eastAsia="Times New Roman" w:hAnsi="Georgia" w:cs="Calibri"/>
                <w:color w:val="1F497D"/>
                <w:sz w:val="23"/>
                <w:szCs w:val="23"/>
              </w:rPr>
              <w:t>ДИНАМИКА КОРПОРАТИВНЫХ ДЕПОЗИТОВ</w:t>
            </w:r>
          </w:p>
        </w:tc>
        <w:tc>
          <w:tcPr>
            <w:tcW w:w="2552"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г/г, номинальный, %</w:t>
            </w:r>
          </w:p>
        </w:tc>
        <w:tc>
          <w:tcPr>
            <w:tcW w:w="2610" w:type="dxa"/>
            <w:tcBorders>
              <w:top w:val="nil"/>
              <w:left w:val="nil"/>
              <w:bottom w:val="single" w:sz="8" w:space="0" w:color="95B3D7"/>
              <w:right w:val="nil"/>
            </w:tcBorders>
            <w:shd w:val="clear" w:color="auto" w:fill="auto"/>
            <w:noWrap/>
            <w:vAlign w:val="center"/>
            <w:hideMark/>
          </w:tcPr>
          <w:p w:rsidR="009A2C34" w:rsidRPr="009A2C34" w:rsidRDefault="009A2C34" w:rsidP="00374BD0">
            <w:pPr>
              <w:spacing w:after="0" w:line="240" w:lineRule="auto"/>
              <w:jc w:val="center"/>
              <w:rPr>
                <w:rFonts w:ascii="Georgia" w:eastAsia="Times New Roman" w:hAnsi="Georgia" w:cs="Calibri"/>
                <w:color w:val="1F497D"/>
                <w:sz w:val="23"/>
                <w:szCs w:val="23"/>
              </w:rPr>
            </w:pPr>
            <w:r w:rsidRPr="009A2C34">
              <w:rPr>
                <w:rFonts w:ascii="Georgia" w:eastAsia="Times New Roman" w:hAnsi="Georgia" w:cs="Calibri"/>
                <w:color w:val="1F497D"/>
                <w:sz w:val="23"/>
                <w:szCs w:val="23"/>
              </w:rPr>
              <w:t>~12-14</w:t>
            </w:r>
          </w:p>
        </w:tc>
      </w:tr>
    </w:tbl>
    <w:p w:rsidR="009A2C34" w:rsidRPr="009A2C34" w:rsidRDefault="009A2C34" w:rsidP="009A2C34">
      <w:pPr>
        <w:autoSpaceDE w:val="0"/>
        <w:autoSpaceDN w:val="0"/>
        <w:adjustRightInd w:val="0"/>
        <w:spacing w:after="120" w:line="240" w:lineRule="auto"/>
        <w:jc w:val="both"/>
        <w:rPr>
          <w:rFonts w:ascii="Georgia" w:hAnsi="Georgia"/>
          <w:sz w:val="24"/>
          <w:szCs w:val="24"/>
        </w:rPr>
      </w:pPr>
    </w:p>
    <w:p w:rsidR="009A2C34" w:rsidRPr="00CE6BCA" w:rsidRDefault="009A2C34" w:rsidP="009A2C34">
      <w:pPr>
        <w:pStyle w:val="Default"/>
        <w:jc w:val="right"/>
        <w:rPr>
          <w:rFonts w:ascii="Georgia" w:hAnsi="Georgia" w:cs="OfficinaSansBookC-Italic"/>
          <w:i/>
          <w:iCs/>
          <w:sz w:val="16"/>
          <w:szCs w:val="20"/>
        </w:rPr>
      </w:pPr>
      <w:r w:rsidRPr="009A2C34">
        <w:rPr>
          <w:rFonts w:ascii="Georgia" w:hAnsi="Georgia" w:cs="OfficinaSansBookC-Italic"/>
          <w:i/>
          <w:iCs/>
          <w:sz w:val="16"/>
          <w:szCs w:val="20"/>
        </w:rPr>
        <w:t>Источник: Федеральная служба государственной статистики, Центр макроэкономических исследований Сбербанка</w:t>
      </w:r>
    </w:p>
    <w:p w:rsidR="00DE4863" w:rsidRPr="00425945" w:rsidRDefault="00DE4863" w:rsidP="00DE4863">
      <w:pPr>
        <w:autoSpaceDE w:val="0"/>
        <w:autoSpaceDN w:val="0"/>
        <w:adjustRightInd w:val="0"/>
        <w:spacing w:after="120" w:line="240" w:lineRule="auto"/>
        <w:jc w:val="both"/>
        <w:rPr>
          <w:rFonts w:ascii="Georgia" w:hAnsi="Georgia"/>
          <w:sz w:val="24"/>
          <w:szCs w:val="24"/>
        </w:rPr>
      </w:pPr>
      <w:r w:rsidRPr="00425945">
        <w:rPr>
          <w:rFonts w:ascii="Georgia" w:hAnsi="Georgia"/>
          <w:sz w:val="24"/>
          <w:szCs w:val="24"/>
        </w:rPr>
        <w:t xml:space="preserve">Основной стратегической целью </w:t>
      </w:r>
      <w:r>
        <w:rPr>
          <w:rFonts w:ascii="Georgia" w:hAnsi="Georgia"/>
          <w:sz w:val="24"/>
          <w:szCs w:val="24"/>
        </w:rPr>
        <w:t>П</w:t>
      </w:r>
      <w:r w:rsidRPr="00425945">
        <w:rPr>
          <w:rFonts w:ascii="Georgia" w:hAnsi="Georgia"/>
          <w:sz w:val="24"/>
          <w:szCs w:val="24"/>
        </w:rPr>
        <w:t>АО «ИнтехБанк» в 201</w:t>
      </w:r>
      <w:r>
        <w:rPr>
          <w:rFonts w:ascii="Georgia" w:hAnsi="Georgia"/>
          <w:sz w:val="24"/>
          <w:szCs w:val="24"/>
        </w:rPr>
        <w:t xml:space="preserve">6 </w:t>
      </w:r>
      <w:r w:rsidRPr="00425945">
        <w:rPr>
          <w:rFonts w:ascii="Georgia" w:hAnsi="Georgia"/>
          <w:sz w:val="24"/>
          <w:szCs w:val="24"/>
        </w:rPr>
        <w:t>г</w:t>
      </w:r>
      <w:r>
        <w:rPr>
          <w:rFonts w:ascii="Georgia" w:hAnsi="Georgia"/>
          <w:sz w:val="24"/>
          <w:szCs w:val="24"/>
        </w:rPr>
        <w:t>оду</w:t>
      </w:r>
      <w:r w:rsidRPr="00425945">
        <w:rPr>
          <w:rFonts w:ascii="Georgia" w:hAnsi="Georgia"/>
          <w:sz w:val="24"/>
          <w:szCs w:val="24"/>
        </w:rPr>
        <w:t xml:space="preserve"> является построение внутренней инфраструктуры и отладки технологий продаж в рамках полноценного исп</w:t>
      </w:r>
      <w:r>
        <w:rPr>
          <w:rFonts w:ascii="Georgia" w:hAnsi="Georgia"/>
          <w:sz w:val="24"/>
          <w:szCs w:val="24"/>
        </w:rPr>
        <w:t xml:space="preserve">олнения финансовых показателей </w:t>
      </w:r>
      <w:r w:rsidRPr="00425945">
        <w:rPr>
          <w:rFonts w:ascii="Georgia" w:hAnsi="Georgia"/>
          <w:sz w:val="24"/>
          <w:szCs w:val="24"/>
        </w:rPr>
        <w:t>Стратегии развития Банка на 2012-201</w:t>
      </w:r>
      <w:r w:rsidRPr="00643468">
        <w:rPr>
          <w:rFonts w:ascii="Georgia" w:hAnsi="Georgia"/>
          <w:sz w:val="24"/>
          <w:szCs w:val="24"/>
        </w:rPr>
        <w:t>6</w:t>
      </w:r>
      <w:r>
        <w:rPr>
          <w:rFonts w:ascii="Georgia" w:hAnsi="Georgia"/>
          <w:sz w:val="24"/>
          <w:szCs w:val="24"/>
        </w:rPr>
        <w:t xml:space="preserve"> </w:t>
      </w:r>
      <w:r w:rsidRPr="00425945">
        <w:rPr>
          <w:rFonts w:ascii="Georgia" w:hAnsi="Georgia"/>
          <w:sz w:val="24"/>
          <w:szCs w:val="24"/>
        </w:rPr>
        <w:t xml:space="preserve">гг. </w:t>
      </w:r>
    </w:p>
    <w:p w:rsidR="00DE4863" w:rsidRDefault="00DE4863" w:rsidP="00DE4863">
      <w:pPr>
        <w:pStyle w:val="2014"/>
        <w:spacing w:after="0"/>
        <w:rPr>
          <w:b/>
          <w:i/>
          <w:color w:val="365F91" w:themeColor="accent1" w:themeShade="BF"/>
          <w:sz w:val="28"/>
        </w:rPr>
      </w:pPr>
    </w:p>
    <w:p w:rsidR="00DE4863" w:rsidRDefault="00DE4863" w:rsidP="00DE4863">
      <w:pPr>
        <w:pStyle w:val="2014"/>
        <w:spacing w:after="0"/>
        <w:rPr>
          <w:b/>
          <w:i/>
          <w:color w:val="365F91" w:themeColor="accent1" w:themeShade="BF"/>
          <w:sz w:val="28"/>
        </w:rPr>
      </w:pPr>
      <w:r w:rsidRPr="00425945">
        <w:rPr>
          <w:b/>
          <w:i/>
          <w:color w:val="365F91" w:themeColor="accent1" w:themeShade="BF"/>
          <w:sz w:val="28"/>
        </w:rPr>
        <w:t xml:space="preserve">Основные направления деятельности Банка </w:t>
      </w:r>
    </w:p>
    <w:p w:rsidR="00DE4863" w:rsidRPr="00425945" w:rsidRDefault="00DE4863" w:rsidP="00DE4863">
      <w:pPr>
        <w:pStyle w:val="2014"/>
        <w:rPr>
          <w:b/>
          <w:i/>
          <w:color w:val="365F91" w:themeColor="accent1" w:themeShade="BF"/>
          <w:sz w:val="28"/>
        </w:rPr>
      </w:pPr>
      <w:r w:rsidRPr="00425945">
        <w:rPr>
          <w:b/>
          <w:i/>
          <w:color w:val="365F91" w:themeColor="accent1" w:themeShade="BF"/>
          <w:sz w:val="28"/>
        </w:rPr>
        <w:t>на 201</w:t>
      </w:r>
      <w:r>
        <w:rPr>
          <w:b/>
          <w:i/>
          <w:color w:val="365F91" w:themeColor="accent1" w:themeShade="BF"/>
          <w:sz w:val="28"/>
        </w:rPr>
        <w:t>6</w:t>
      </w:r>
      <w:r w:rsidRPr="00425945">
        <w:rPr>
          <w:b/>
          <w:i/>
          <w:color w:val="365F91" w:themeColor="accent1" w:themeShade="BF"/>
          <w:sz w:val="28"/>
        </w:rPr>
        <w:t xml:space="preserve"> год:</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Выполнение рекомендаций ЦБ РФ</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Повышение качества и улучшение структуры активов</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Повышение внутренней эффективности</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Разработка системы управления рисками и капиталом (ВПОДК и СУРК)</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Сохранение клиентской базы</w:t>
      </w:r>
    </w:p>
    <w:p w:rsidR="00DE4863" w:rsidRPr="0073646F" w:rsidRDefault="00DE4863" w:rsidP="00DE4863">
      <w:pPr>
        <w:numPr>
          <w:ilvl w:val="0"/>
          <w:numId w:val="5"/>
        </w:numPr>
        <w:tabs>
          <w:tab w:val="left" w:pos="284"/>
        </w:tabs>
        <w:spacing w:after="80" w:line="240" w:lineRule="auto"/>
        <w:ind w:left="0" w:firstLine="0"/>
        <w:jc w:val="both"/>
        <w:rPr>
          <w:rFonts w:ascii="Georgia" w:hAnsi="Georgia"/>
          <w:sz w:val="24"/>
          <w:szCs w:val="24"/>
        </w:rPr>
      </w:pPr>
      <w:r w:rsidRPr="0073646F">
        <w:rPr>
          <w:rFonts w:ascii="Georgia" w:hAnsi="Georgia"/>
          <w:sz w:val="24"/>
          <w:szCs w:val="24"/>
        </w:rPr>
        <w:t>Сохранение позиций на банковском рынке РТ</w:t>
      </w:r>
    </w:p>
    <w:p w:rsidR="00DE4863" w:rsidRDefault="00DE4863" w:rsidP="00DE4863">
      <w:pPr>
        <w:pStyle w:val="2014"/>
        <w:spacing w:before="120"/>
        <w:rPr>
          <w:b/>
          <w:i/>
          <w:color w:val="365F91" w:themeColor="accent1" w:themeShade="BF"/>
          <w:sz w:val="28"/>
        </w:rPr>
      </w:pPr>
    </w:p>
    <w:p w:rsidR="009A2C34" w:rsidRDefault="009A2C34" w:rsidP="00DE4863">
      <w:pPr>
        <w:pStyle w:val="2014"/>
        <w:spacing w:before="120"/>
        <w:rPr>
          <w:b/>
          <w:i/>
          <w:color w:val="365F91" w:themeColor="accent1" w:themeShade="BF"/>
          <w:sz w:val="28"/>
        </w:rPr>
      </w:pPr>
    </w:p>
    <w:p w:rsidR="003A49E4" w:rsidRPr="003A49E4" w:rsidRDefault="003A49E4" w:rsidP="00DE4863">
      <w:pPr>
        <w:pStyle w:val="2014"/>
        <w:spacing w:before="120"/>
        <w:rPr>
          <w:b/>
          <w:i/>
          <w:color w:val="365F91" w:themeColor="accent1" w:themeShade="BF"/>
          <w:sz w:val="20"/>
          <w:szCs w:val="20"/>
        </w:rPr>
      </w:pPr>
    </w:p>
    <w:p w:rsidR="00DE4863" w:rsidRDefault="00DE4863" w:rsidP="00DE4863">
      <w:pPr>
        <w:pStyle w:val="2014"/>
        <w:spacing w:before="120"/>
        <w:rPr>
          <w:b/>
          <w:i/>
          <w:color w:val="365F91" w:themeColor="accent1" w:themeShade="BF"/>
          <w:sz w:val="28"/>
        </w:rPr>
      </w:pPr>
      <w:r w:rsidRPr="00C63526">
        <w:rPr>
          <w:b/>
          <w:i/>
          <w:color w:val="365F91" w:themeColor="accent1" w:themeShade="BF"/>
          <w:sz w:val="28"/>
        </w:rPr>
        <w:t>Целевые показатели на 201</w:t>
      </w:r>
      <w:r>
        <w:rPr>
          <w:b/>
          <w:i/>
          <w:color w:val="365F91" w:themeColor="accent1" w:themeShade="BF"/>
          <w:sz w:val="28"/>
        </w:rPr>
        <w:t>6 год (млн. руб.)</w:t>
      </w:r>
      <w:r w:rsidR="008539BF">
        <w:rPr>
          <w:b/>
          <w:i/>
          <w:color w:val="365F91" w:themeColor="accent1" w:themeShade="BF"/>
          <w:sz w:val="28"/>
        </w:rPr>
        <w:t>:</w:t>
      </w:r>
    </w:p>
    <w:p w:rsidR="004D2036" w:rsidRDefault="004D2036" w:rsidP="004D2036">
      <w:pPr>
        <w:pStyle w:val="ae"/>
        <w:numPr>
          <w:ilvl w:val="0"/>
          <w:numId w:val="16"/>
        </w:numPr>
        <w:spacing w:after="120" w:line="240" w:lineRule="auto"/>
        <w:ind w:right="96"/>
        <w:jc w:val="both"/>
        <w:rPr>
          <w:rFonts w:ascii="Georgia" w:hAnsi="Georgia"/>
          <w:sz w:val="24"/>
          <w:szCs w:val="24"/>
        </w:rPr>
      </w:pPr>
      <w:r w:rsidRPr="004D2036">
        <w:rPr>
          <w:rFonts w:ascii="Georgia" w:hAnsi="Georgia"/>
          <w:sz w:val="24"/>
          <w:szCs w:val="24"/>
        </w:rPr>
        <w:t xml:space="preserve">В 2016 году планируется увеличение капитала Банка на 1 млрд. рублей за счет перевода части субординированных депозитов в уставный капитал Банка. </w:t>
      </w:r>
    </w:p>
    <w:p w:rsidR="004D2036" w:rsidRPr="004D2036" w:rsidRDefault="004D2036" w:rsidP="004D2036">
      <w:pPr>
        <w:pStyle w:val="ae"/>
        <w:spacing w:after="120" w:line="240" w:lineRule="auto"/>
        <w:ind w:right="96"/>
        <w:jc w:val="both"/>
        <w:rPr>
          <w:rFonts w:ascii="Georgia" w:hAnsi="Georgia"/>
          <w:sz w:val="24"/>
          <w:szCs w:val="24"/>
        </w:rPr>
      </w:pPr>
    </w:p>
    <w:p w:rsidR="004D2036" w:rsidRDefault="004D2036" w:rsidP="004D2036">
      <w:pPr>
        <w:pStyle w:val="ae"/>
        <w:numPr>
          <w:ilvl w:val="0"/>
          <w:numId w:val="16"/>
        </w:numPr>
        <w:spacing w:after="120" w:line="240" w:lineRule="auto"/>
        <w:ind w:right="96"/>
        <w:jc w:val="both"/>
        <w:rPr>
          <w:rFonts w:ascii="Georgia" w:hAnsi="Georgia"/>
          <w:sz w:val="24"/>
          <w:szCs w:val="24"/>
        </w:rPr>
      </w:pPr>
      <w:r w:rsidRPr="004D2036">
        <w:rPr>
          <w:rFonts w:ascii="Georgia" w:hAnsi="Georgia"/>
          <w:sz w:val="24"/>
          <w:szCs w:val="24"/>
        </w:rPr>
        <w:t xml:space="preserve">В целевой структуре пассивов, благодаря умеренному росту в абсолютном выражении средств населения и собственных средств, </w:t>
      </w:r>
      <w:r>
        <w:rPr>
          <w:rFonts w:ascii="Georgia" w:hAnsi="Georgia"/>
          <w:sz w:val="24"/>
          <w:szCs w:val="24"/>
        </w:rPr>
        <w:t>планируется</w:t>
      </w:r>
      <w:r w:rsidRPr="004D2036">
        <w:rPr>
          <w:rFonts w:ascii="Georgia" w:hAnsi="Georgia"/>
          <w:sz w:val="24"/>
          <w:szCs w:val="24"/>
        </w:rPr>
        <w:t xml:space="preserve"> снижение доли прочих привлеченных средств.</w:t>
      </w:r>
    </w:p>
    <w:p w:rsidR="004D2036" w:rsidRDefault="004D2036" w:rsidP="004D2036">
      <w:pPr>
        <w:pStyle w:val="ae"/>
        <w:spacing w:after="120" w:line="240" w:lineRule="auto"/>
        <w:ind w:right="96"/>
        <w:jc w:val="both"/>
        <w:rPr>
          <w:rFonts w:ascii="Georgia" w:hAnsi="Georgia"/>
          <w:sz w:val="24"/>
          <w:szCs w:val="24"/>
        </w:rPr>
      </w:pPr>
    </w:p>
    <w:p w:rsidR="004D2036" w:rsidRDefault="004D2036" w:rsidP="004D2036">
      <w:pPr>
        <w:pStyle w:val="ae"/>
        <w:numPr>
          <w:ilvl w:val="0"/>
          <w:numId w:val="16"/>
        </w:numPr>
        <w:spacing w:after="120" w:line="240" w:lineRule="auto"/>
        <w:ind w:right="96"/>
        <w:jc w:val="both"/>
        <w:rPr>
          <w:rFonts w:ascii="Georgia" w:hAnsi="Georgia"/>
          <w:sz w:val="24"/>
          <w:szCs w:val="24"/>
        </w:rPr>
      </w:pPr>
      <w:r w:rsidRPr="004D2036">
        <w:rPr>
          <w:rFonts w:ascii="Georgia" w:hAnsi="Georgia"/>
          <w:sz w:val="24"/>
          <w:szCs w:val="24"/>
        </w:rPr>
        <w:t>Целевые показатели масштабов бизнеса к концу 2016 года предполагают активы в размере 28,9 млрд. рублей, ресурсную базу – 22,2 млрд. рублей</w:t>
      </w:r>
      <w:r>
        <w:rPr>
          <w:rFonts w:ascii="Georgia" w:hAnsi="Georgia"/>
          <w:sz w:val="24"/>
          <w:szCs w:val="24"/>
        </w:rPr>
        <w:t>.</w:t>
      </w:r>
    </w:p>
    <w:p w:rsidR="004D2036" w:rsidRPr="004D2036" w:rsidRDefault="004D2036" w:rsidP="004D2036">
      <w:pPr>
        <w:pStyle w:val="ae"/>
        <w:rPr>
          <w:rFonts w:ascii="Georgia" w:hAnsi="Georgia"/>
          <w:sz w:val="24"/>
          <w:szCs w:val="24"/>
        </w:rPr>
      </w:pPr>
    </w:p>
    <w:p w:rsidR="004D2036" w:rsidRDefault="004D2036" w:rsidP="004D2036">
      <w:pPr>
        <w:pStyle w:val="ae"/>
        <w:numPr>
          <w:ilvl w:val="0"/>
          <w:numId w:val="16"/>
        </w:numPr>
        <w:spacing w:after="120" w:line="240" w:lineRule="auto"/>
        <w:ind w:right="96"/>
        <w:jc w:val="both"/>
        <w:rPr>
          <w:rFonts w:ascii="Georgia" w:hAnsi="Georgia"/>
          <w:sz w:val="24"/>
          <w:szCs w:val="24"/>
        </w:rPr>
      </w:pPr>
      <w:r w:rsidRPr="004D2036">
        <w:rPr>
          <w:rFonts w:ascii="Georgia" w:hAnsi="Georgia"/>
          <w:sz w:val="24"/>
          <w:szCs w:val="24"/>
        </w:rPr>
        <w:t>Деятельность банка будет сопровождаться сохранением уровня показателя cost/income, который по итогам 2016 года составит порядка 90,7%.</w:t>
      </w:r>
    </w:p>
    <w:p w:rsidR="004D2036" w:rsidRPr="004D2036" w:rsidRDefault="004D2036" w:rsidP="004D2036">
      <w:pPr>
        <w:pStyle w:val="ae"/>
        <w:rPr>
          <w:rFonts w:ascii="Georgia" w:hAnsi="Georgia"/>
          <w:sz w:val="24"/>
          <w:szCs w:val="24"/>
        </w:rPr>
      </w:pPr>
    </w:p>
    <w:p w:rsidR="004D2036" w:rsidRPr="004D2036" w:rsidRDefault="004D2036" w:rsidP="004D2036">
      <w:pPr>
        <w:pStyle w:val="ae"/>
        <w:numPr>
          <w:ilvl w:val="0"/>
          <w:numId w:val="16"/>
        </w:numPr>
        <w:spacing w:after="120" w:line="240" w:lineRule="auto"/>
        <w:ind w:right="96"/>
        <w:jc w:val="both"/>
        <w:rPr>
          <w:rFonts w:ascii="Georgia" w:hAnsi="Georgia"/>
          <w:sz w:val="24"/>
          <w:szCs w:val="24"/>
        </w:rPr>
      </w:pPr>
      <w:r w:rsidRPr="004D2036">
        <w:rPr>
          <w:rFonts w:ascii="Georgia" w:hAnsi="Georgia"/>
          <w:sz w:val="24"/>
          <w:szCs w:val="24"/>
        </w:rPr>
        <w:t>В структуре операционных доходов Банка запланирован рост доли транзакционных доходов.</w:t>
      </w:r>
    </w:p>
    <w:p w:rsidR="00961F0F" w:rsidRDefault="00961F0F" w:rsidP="00DE4863">
      <w:pPr>
        <w:spacing w:after="120" w:line="240" w:lineRule="auto"/>
        <w:ind w:right="96"/>
        <w:jc w:val="both"/>
        <w:rPr>
          <w:rFonts w:ascii="Georgia" w:hAnsi="Georgia"/>
          <w:sz w:val="24"/>
          <w:szCs w:val="24"/>
        </w:rPr>
      </w:pPr>
    </w:p>
    <w:p w:rsidR="00DE4863" w:rsidRDefault="00DE4863" w:rsidP="00DE4863">
      <w:r>
        <w:br w:type="page"/>
      </w:r>
    </w:p>
    <w:p w:rsidR="00E72CA3" w:rsidRPr="00CC3E77" w:rsidRDefault="00E72CA3" w:rsidP="00E72CA3">
      <w:pPr>
        <w:spacing w:after="0" w:line="360" w:lineRule="auto"/>
        <w:contextualSpacing/>
        <w:jc w:val="both"/>
        <w:rPr>
          <w:rFonts w:cstheme="minorHAnsi"/>
          <w:sz w:val="28"/>
          <w:szCs w:val="28"/>
        </w:rPr>
      </w:pPr>
    </w:p>
    <w:p w:rsidR="00E72CA3" w:rsidRPr="00CC3E77" w:rsidRDefault="00E72CA3" w:rsidP="00E72CA3">
      <w:pPr>
        <w:spacing w:after="0" w:line="360" w:lineRule="auto"/>
        <w:jc w:val="both"/>
        <w:rPr>
          <w:rFonts w:cstheme="minorHAnsi"/>
          <w:b/>
          <w:noProof/>
          <w:sz w:val="28"/>
          <w:szCs w:val="28"/>
        </w:rPr>
      </w:pPr>
    </w:p>
    <w:p w:rsidR="00E72CA3" w:rsidRPr="00CC3E77" w:rsidRDefault="00E72CA3" w:rsidP="00E72CA3">
      <w:pPr>
        <w:pStyle w:val="1"/>
        <w:spacing w:before="0" w:line="360" w:lineRule="auto"/>
        <w:jc w:val="both"/>
        <w:rPr>
          <w:rFonts w:asciiTheme="minorHAnsi" w:hAnsiTheme="minorHAnsi" w:cstheme="minorHAnsi"/>
          <w:noProof/>
          <w:color w:val="00B050"/>
        </w:rPr>
      </w:pPr>
    </w:p>
    <w:p w:rsidR="00E72CA3" w:rsidRPr="00CC3E77" w:rsidRDefault="00E72CA3" w:rsidP="00E72CA3">
      <w:pPr>
        <w:pStyle w:val="1"/>
        <w:spacing w:before="0" w:line="360" w:lineRule="auto"/>
        <w:jc w:val="both"/>
        <w:rPr>
          <w:rFonts w:asciiTheme="minorHAnsi" w:hAnsiTheme="minorHAnsi" w:cstheme="minorHAnsi"/>
          <w:noProof/>
          <w:color w:val="00B050"/>
        </w:rPr>
      </w:pPr>
    </w:p>
    <w:p w:rsidR="00E72CA3" w:rsidRPr="00CC3E77" w:rsidRDefault="00E72CA3" w:rsidP="00E72CA3">
      <w:pPr>
        <w:spacing w:after="0" w:line="360" w:lineRule="auto"/>
        <w:jc w:val="both"/>
        <w:rPr>
          <w:rFonts w:cstheme="minorHAnsi"/>
          <w:noProof/>
          <w:sz w:val="28"/>
          <w:szCs w:val="28"/>
        </w:rPr>
      </w:pPr>
    </w:p>
    <w:p w:rsidR="00E72CA3" w:rsidRPr="00CC3E77" w:rsidRDefault="00E72CA3" w:rsidP="00E72CA3">
      <w:pPr>
        <w:spacing w:after="0" w:line="360" w:lineRule="auto"/>
        <w:jc w:val="both"/>
        <w:rPr>
          <w:rFonts w:cstheme="minorHAnsi"/>
          <w:noProof/>
          <w:sz w:val="28"/>
          <w:szCs w:val="28"/>
        </w:rPr>
      </w:pPr>
    </w:p>
    <w:p w:rsidR="00E72CA3" w:rsidRPr="00CC3E77" w:rsidRDefault="00E72CA3" w:rsidP="00E72CA3">
      <w:pPr>
        <w:spacing w:after="0" w:line="360" w:lineRule="auto"/>
        <w:jc w:val="both"/>
        <w:rPr>
          <w:rFonts w:eastAsiaTheme="majorEastAsia" w:cstheme="minorHAnsi"/>
          <w:noProof/>
          <w:sz w:val="28"/>
          <w:szCs w:val="28"/>
        </w:rPr>
      </w:pPr>
    </w:p>
    <w:p w:rsidR="00E72CA3" w:rsidRPr="00CC3E77" w:rsidRDefault="00E72CA3" w:rsidP="00E72CA3">
      <w:pPr>
        <w:spacing w:after="0" w:line="360" w:lineRule="auto"/>
        <w:jc w:val="both"/>
        <w:rPr>
          <w:rFonts w:cstheme="minorHAnsi"/>
          <w:noProof/>
          <w:sz w:val="28"/>
          <w:szCs w:val="28"/>
        </w:rPr>
      </w:pPr>
    </w:p>
    <w:p w:rsidR="00E72CA3" w:rsidRDefault="00E72CA3" w:rsidP="00E72CA3">
      <w:pPr>
        <w:spacing w:after="0" w:line="360" w:lineRule="auto"/>
        <w:jc w:val="both"/>
        <w:rPr>
          <w:rFonts w:cstheme="minorHAnsi"/>
          <w:noProof/>
          <w:sz w:val="28"/>
          <w:szCs w:val="28"/>
        </w:rPr>
      </w:pPr>
    </w:p>
    <w:p w:rsidR="00E72CA3" w:rsidRPr="00CC3E77" w:rsidRDefault="00E72CA3" w:rsidP="00E72CA3">
      <w:pPr>
        <w:spacing w:after="0" w:line="360" w:lineRule="auto"/>
        <w:jc w:val="both"/>
        <w:rPr>
          <w:rFonts w:cstheme="minorHAnsi"/>
          <w:noProof/>
          <w:sz w:val="28"/>
          <w:szCs w:val="28"/>
        </w:rPr>
      </w:pPr>
    </w:p>
    <w:p w:rsidR="00C27CA9" w:rsidRDefault="00C27CA9">
      <w:pPr>
        <w:rPr>
          <w:noProof/>
        </w:rPr>
      </w:pPr>
      <w:r>
        <w:rPr>
          <w:noProof/>
        </w:rPr>
        <w:drawing>
          <wp:anchor distT="0" distB="0" distL="114300" distR="114300" simplePos="0" relativeHeight="251678720" behindDoc="1" locked="0" layoutInCell="1" allowOverlap="1" wp14:anchorId="24952BA0" wp14:editId="09B757FE">
            <wp:simplePos x="0" y="0"/>
            <wp:positionH relativeFrom="margin">
              <wp:align>left</wp:align>
            </wp:positionH>
            <wp:positionV relativeFrom="paragraph">
              <wp:posOffset>188595</wp:posOffset>
            </wp:positionV>
            <wp:extent cx="2633980" cy="1068705"/>
            <wp:effectExtent l="19050" t="0" r="0" b="0"/>
            <wp:wrapSquare wrapText="bothSides"/>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573" t="5579" r="1437" b="3665"/>
                    <a:stretch>
                      <a:fillRect/>
                    </a:stretch>
                  </pic:blipFill>
                  <pic:spPr bwMode="auto">
                    <a:xfrm>
                      <a:off x="0" y="0"/>
                      <a:ext cx="2633980" cy="1068705"/>
                    </a:xfrm>
                    <a:prstGeom prst="rect">
                      <a:avLst/>
                    </a:prstGeom>
                    <a:noFill/>
                    <a:ln w="9525">
                      <a:noFill/>
                      <a:miter lim="800000"/>
                      <a:headEnd/>
                      <a:tailEnd/>
                    </a:ln>
                  </pic:spPr>
                </pic:pic>
              </a:graphicData>
            </a:graphic>
          </wp:anchor>
        </w:drawing>
      </w:r>
    </w:p>
    <w:p w:rsidR="00C27CA9" w:rsidRDefault="00C27CA9">
      <w:pPr>
        <w:rPr>
          <w:noProof/>
        </w:rPr>
      </w:pPr>
    </w:p>
    <w:p w:rsidR="00C27CA9" w:rsidRDefault="00C27CA9">
      <w:pPr>
        <w:rPr>
          <w:noProof/>
        </w:rPr>
      </w:pPr>
    </w:p>
    <w:p w:rsidR="00C27CA9" w:rsidRDefault="00C27CA9" w:rsidP="00C27CA9">
      <w:pPr>
        <w:rPr>
          <w:noProof/>
        </w:rPr>
      </w:pPr>
    </w:p>
    <w:p w:rsidR="00C27CA9" w:rsidRDefault="00AA156D" w:rsidP="00C27CA9">
      <w:pPr>
        <w:rPr>
          <w:noProof/>
        </w:rPr>
      </w:pPr>
      <w:r>
        <w:rPr>
          <w:noProof/>
        </w:rPr>
      </w:r>
      <w:r>
        <w:rPr>
          <w:noProof/>
        </w:rPr>
        <w:pict>
          <v:shape id="AutoShape 48" o:spid="_x0000_s1060" type="#_x0000_t32" style="width:425.8pt;height:.05pt;visibility:visible;mso-wrap-style:square;mso-left-percent:-10001;mso-top-percent:-10001;mso-position-horizontal:absolute;mso-position-horizontal-relative:char;mso-position-vertical:absolute;mso-position-vertical-relative:line;mso-left-percent:-10001;mso-top-percent:-10001" strokecolor="#00b050" strokeweight="4.5pt">
            <w10:wrap type="none"/>
            <w10:anchorlock/>
          </v:shape>
        </w:pict>
      </w:r>
    </w:p>
    <w:p w:rsidR="00C27CA9" w:rsidRDefault="00C27CA9">
      <w:pPr>
        <w:rPr>
          <w:noProof/>
        </w:rPr>
      </w:pPr>
    </w:p>
    <w:p w:rsidR="00C57722" w:rsidRPr="00934AD5" w:rsidRDefault="00C27CA9" w:rsidP="00934AD5">
      <w:pPr>
        <w:pStyle w:val="1"/>
        <w:spacing w:before="0" w:line="240" w:lineRule="auto"/>
        <w:jc w:val="center"/>
        <w:rPr>
          <w:rFonts w:ascii="Georgia" w:hAnsi="Georgia"/>
          <w:noProof/>
          <w:color w:val="auto"/>
          <w:sz w:val="52"/>
          <w:szCs w:val="52"/>
        </w:rPr>
      </w:pPr>
      <w:bookmarkStart w:id="38" w:name="_Toc448145469"/>
      <w:r w:rsidRPr="00934AD5">
        <w:rPr>
          <w:rFonts w:ascii="Georgia" w:hAnsi="Georgia"/>
          <w:noProof/>
          <w:color w:val="auto"/>
          <w:sz w:val="52"/>
          <w:szCs w:val="52"/>
        </w:rPr>
        <w:t>РОЗНИЧНЫЙ БИЗНЕС</w:t>
      </w:r>
      <w:bookmarkEnd w:id="38"/>
    </w:p>
    <w:p w:rsidR="00C57722" w:rsidRDefault="00C57722">
      <w:pPr>
        <w:rPr>
          <w:rFonts w:ascii="Georgia" w:hAnsi="Georgia"/>
          <w:b/>
          <w:noProof/>
          <w:sz w:val="52"/>
        </w:rPr>
      </w:pPr>
      <w:r>
        <w:rPr>
          <w:rFonts w:ascii="Georgia" w:hAnsi="Georgia"/>
          <w:b/>
          <w:noProof/>
          <w:sz w:val="52"/>
        </w:rPr>
        <w:br w:type="page"/>
      </w:r>
    </w:p>
    <w:p w:rsidR="003260D9" w:rsidRPr="0022141B" w:rsidRDefault="003260D9" w:rsidP="0022141B">
      <w:pPr>
        <w:spacing w:after="0" w:line="240" w:lineRule="auto"/>
        <w:rPr>
          <w:rFonts w:ascii="Cambria" w:hAnsi="Cambria"/>
          <w:noProof/>
          <w:color w:val="00B050"/>
          <w:sz w:val="20"/>
          <w:szCs w:val="20"/>
        </w:rPr>
      </w:pPr>
    </w:p>
    <w:p w:rsidR="00DE4863" w:rsidRPr="0022141B" w:rsidRDefault="00DE4863" w:rsidP="00DE4863">
      <w:pPr>
        <w:spacing w:after="0" w:line="240" w:lineRule="auto"/>
        <w:rPr>
          <w:rFonts w:ascii="Cambria" w:hAnsi="Cambria"/>
          <w:b/>
          <w:noProof/>
          <w:color w:val="00B050"/>
          <w:sz w:val="40"/>
          <w:szCs w:val="40"/>
        </w:rPr>
      </w:pPr>
      <w:r w:rsidRPr="0022141B">
        <w:rPr>
          <w:rFonts w:ascii="Cambria" w:hAnsi="Cambria"/>
          <w:b/>
          <w:noProof/>
          <w:color w:val="00B050"/>
          <w:sz w:val="40"/>
          <w:szCs w:val="40"/>
        </w:rPr>
        <w:t>Розничный бизнес</w:t>
      </w:r>
    </w:p>
    <w:p w:rsidR="00DE4863" w:rsidRPr="0022141B" w:rsidRDefault="00DE4863" w:rsidP="00DE4863">
      <w:pPr>
        <w:spacing w:after="0" w:line="240" w:lineRule="auto"/>
        <w:rPr>
          <w:rFonts w:ascii="Cambria" w:hAnsi="Cambria"/>
          <w:noProof/>
          <w:color w:val="00B050"/>
          <w:sz w:val="20"/>
          <w:szCs w:val="20"/>
        </w:rPr>
      </w:pPr>
    </w:p>
    <w:p w:rsidR="00DE4863" w:rsidRDefault="00DE4863" w:rsidP="00DE4863">
      <w:pPr>
        <w:pStyle w:val="2014"/>
      </w:pPr>
      <w:r w:rsidRPr="00DD068D">
        <w:t>Розничный бизнес-блок является одним из стратегически важных направлений развития Банка. В 201</w:t>
      </w:r>
      <w:r>
        <w:t>5</w:t>
      </w:r>
      <w:r w:rsidRPr="00DD068D">
        <w:t xml:space="preserve"> году розничный бизнес продолжил динамичное развитие на территории Республики Татарстан.</w:t>
      </w:r>
      <w:r>
        <w:t xml:space="preserve"> На рынке кредитования физических лиц в Республике Татарстан Банк занимает 10-е место, с долей рынка по итогам года 5,25%.</w:t>
      </w:r>
    </w:p>
    <w:p w:rsidR="00DE4863" w:rsidRDefault="00AA156D" w:rsidP="00DE4863">
      <w:pPr>
        <w:pStyle w:val="2014"/>
        <w:jc w:val="center"/>
      </w:pPr>
      <w:r>
        <w:rPr>
          <w:rFonts w:ascii="Cambria" w:hAnsi="Cambria"/>
          <w:noProof/>
        </w:rPr>
        <w:pict>
          <v:rect id="_x0000_s1057" style="position:absolute;left:0;text-align:left;margin-left:364.95pt;margin-top:116.55pt;width:61.75pt;height:12pt;z-index:251801600;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" stroked="f">
            <v:textbox style="mso-next-textbox:#_x0000_s1057" inset="0,0,0,0">
              <w:txbxContent>
                <w:p w:rsidR="005B174C" w:rsidRPr="006157C2" w:rsidRDefault="005B174C" w:rsidP="00DE4863">
                  <w:pPr>
                    <w:rPr>
                      <w:rFonts w:ascii="Georgia" w:hAnsi="Georgia"/>
                      <w:b/>
                      <w:sz w:val="20"/>
                      <w:szCs w:val="20"/>
                    </w:rPr>
                  </w:pPr>
                  <w:r>
                    <w:rPr>
                      <w:rFonts w:ascii="Georgia" w:hAnsi="Georgia"/>
                      <w:b/>
                      <w:sz w:val="20"/>
                      <w:szCs w:val="20"/>
                    </w:rPr>
                    <w:t>5,25</w:t>
                  </w:r>
                  <w:r w:rsidRPr="006157C2">
                    <w:rPr>
                      <w:rFonts w:ascii="Georgia" w:hAnsi="Georgia"/>
                      <w:b/>
                      <w:sz w:val="20"/>
                      <w:szCs w:val="20"/>
                    </w:rPr>
                    <w:t>%</w:t>
                  </w:r>
                </w:p>
              </w:txbxContent>
            </v:textbox>
          </v:rect>
        </w:pict>
      </w:r>
      <w:r>
        <w:rPr>
          <w:rFonts w:ascii="Cambria" w:hAnsi="Cambria"/>
          <w:noProof/>
        </w:rPr>
        <w:pict>
          <v:rect id="Rectangle 20" o:spid="_x0000_s1056" style="position:absolute;left:0;text-align:left;margin-left:232.7pt;margin-top:81.3pt;width:61.75pt;height:15.75pt;z-index:251800576;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" stroked="f">
            <v:textbox style="mso-next-textbox:#Rectangle 20" inset="0,0,0,0">
              <w:txbxContent>
                <w:p w:rsidR="005B174C" w:rsidRPr="006157C2" w:rsidRDefault="005B174C" w:rsidP="00DE4863">
                  <w:pPr>
                    <w:rPr>
                      <w:rFonts w:ascii="Georgia" w:hAnsi="Georgia"/>
                      <w:b/>
                      <w:sz w:val="20"/>
                      <w:szCs w:val="20"/>
                    </w:rPr>
                  </w:pPr>
                  <w:r w:rsidRPr="006157C2">
                    <w:rPr>
                      <w:rFonts w:ascii="Georgia" w:hAnsi="Georgia"/>
                      <w:b/>
                      <w:sz w:val="20"/>
                      <w:szCs w:val="20"/>
                    </w:rPr>
                    <w:t>2,6</w:t>
                  </w:r>
                  <w:r>
                    <w:rPr>
                      <w:rFonts w:ascii="Georgia" w:hAnsi="Georgia"/>
                      <w:b/>
                      <w:sz w:val="20"/>
                      <w:szCs w:val="20"/>
                    </w:rPr>
                    <w:t>8</w:t>
                  </w:r>
                  <w:r w:rsidRPr="006157C2">
                    <w:rPr>
                      <w:rFonts w:ascii="Georgia" w:hAnsi="Georgia"/>
                      <w:b/>
                      <w:sz w:val="20"/>
                      <w:szCs w:val="20"/>
                    </w:rPr>
                    <w:t>%</w:t>
                  </w:r>
                </w:p>
              </w:txbxContent>
            </v:textbox>
          </v:rect>
        </w:pict>
      </w:r>
      <w:r w:rsidR="00DE4863" w:rsidRPr="00861667">
        <w:rPr>
          <w:noProof/>
        </w:rPr>
        <w:t xml:space="preserve"> </w:t>
      </w:r>
      <w:r w:rsidR="00DE4863">
        <w:rPr>
          <w:noProof/>
        </w:rPr>
        <w:drawing>
          <wp:inline distT="0" distB="0" distL="0" distR="0" wp14:anchorId="59B76DF5" wp14:editId="6D02432B">
            <wp:extent cx="4791075" cy="2295525"/>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E4863" w:rsidRPr="006157C2" w:rsidRDefault="00DE4863" w:rsidP="00DE4863">
      <w:pPr>
        <w:keepNext/>
        <w:spacing w:after="120" w:line="240" w:lineRule="auto"/>
        <w:ind w:firstLine="709"/>
        <w:jc w:val="center"/>
        <w:rPr>
          <w:rFonts w:ascii="Georgia" w:hAnsi="Georgia"/>
          <w:sz w:val="20"/>
          <w:szCs w:val="20"/>
        </w:rPr>
      </w:pPr>
      <w:r w:rsidRPr="006157C2">
        <w:rPr>
          <w:rFonts w:ascii="Georgia" w:hAnsi="Georgia"/>
          <w:b/>
          <w:bCs/>
          <w:sz w:val="24"/>
          <w:szCs w:val="20"/>
        </w:rPr>
        <w:t>Рыночная д</w:t>
      </w:r>
      <w:r>
        <w:rPr>
          <w:rFonts w:ascii="Georgia" w:hAnsi="Georgia"/>
          <w:b/>
          <w:bCs/>
          <w:sz w:val="24"/>
          <w:szCs w:val="20"/>
        </w:rPr>
        <w:t xml:space="preserve">оля ПАО «ИнтехБанк» в сегменте </w:t>
      </w:r>
      <w:r w:rsidRPr="006157C2">
        <w:rPr>
          <w:rFonts w:ascii="Georgia" w:hAnsi="Georgia"/>
          <w:b/>
          <w:bCs/>
          <w:sz w:val="24"/>
          <w:szCs w:val="20"/>
        </w:rPr>
        <w:t>розничного кредитования РТ</w:t>
      </w:r>
    </w:p>
    <w:p w:rsidR="00DE4863" w:rsidRDefault="00DE4863" w:rsidP="00DE4863">
      <w:pPr>
        <w:pStyle w:val="2014"/>
        <w:rPr>
          <w:b/>
          <w:i/>
          <w:color w:val="365F91" w:themeColor="accent1" w:themeShade="BF"/>
          <w:sz w:val="28"/>
        </w:rPr>
      </w:pPr>
      <w:r w:rsidRPr="006B6C05">
        <w:rPr>
          <w:b/>
          <w:i/>
          <w:color w:val="365F91" w:themeColor="accent1" w:themeShade="BF"/>
          <w:sz w:val="28"/>
        </w:rPr>
        <w:t>Кредиты</w:t>
      </w:r>
    </w:p>
    <w:p w:rsidR="00DE4863" w:rsidRDefault="00DE4863" w:rsidP="00DE4863">
      <w:pPr>
        <w:pStyle w:val="2014"/>
      </w:pPr>
      <w:r w:rsidRPr="009E4486">
        <w:t xml:space="preserve">Несмотря на </w:t>
      </w:r>
      <w:r>
        <w:t>продолжающийся спад темпов роста экономики в 2015</w:t>
      </w:r>
      <w:r w:rsidRPr="009E4486">
        <w:t xml:space="preserve"> году по сравнению с 201</w:t>
      </w:r>
      <w:r>
        <w:t>4</w:t>
      </w:r>
      <w:r w:rsidRPr="009E4486">
        <w:t xml:space="preserve"> годом, </w:t>
      </w:r>
      <w:r w:rsidRPr="00795397">
        <w:rPr>
          <w:b/>
          <w:i/>
        </w:rPr>
        <w:t>розничный кредитный портфель</w:t>
      </w:r>
      <w:r>
        <w:t xml:space="preserve"> Банка вырос на 77</w:t>
      </w:r>
      <w:r w:rsidRPr="009E4486">
        <w:t xml:space="preserve">% - до </w:t>
      </w:r>
      <w:r>
        <w:t>5,1 млрд</w:t>
      </w:r>
      <w:r w:rsidRPr="009E4486">
        <w:t>. руб.</w:t>
      </w:r>
      <w:r>
        <w:t xml:space="preserve"> При этом</w:t>
      </w:r>
      <w:r w:rsidRPr="009E4486">
        <w:t xml:space="preserve"> </w:t>
      </w:r>
      <w:r>
        <w:t>4,5</w:t>
      </w:r>
      <w:r w:rsidRPr="009E4486">
        <w:t xml:space="preserve"> мл</w:t>
      </w:r>
      <w:r>
        <w:t>рд</w:t>
      </w:r>
      <w:r w:rsidRPr="009E4486">
        <w:t xml:space="preserve">. руб. из розничного кредитного портфеля составляет остаток ссудной задолженности по реализованному ипотечному портфелю в рамках мероприятия по организации облигационного займа с ипотечным покрытием совместно с АИЖК. Стоит отметить, что в государственную программу АИЖК включены только банки, обладающие богатым опытом на рынке ипотечного кредитования и надежность которых подтверждена независимыми рейтинговыми агентствами. </w:t>
      </w:r>
    </w:p>
    <w:p w:rsidR="00DE4863" w:rsidRDefault="00DE4863" w:rsidP="00DE4863">
      <w:pPr>
        <w:keepNext/>
        <w:spacing w:after="120" w:line="240" w:lineRule="auto"/>
        <w:jc w:val="center"/>
        <w:rPr>
          <w:rFonts w:ascii="Georgia" w:hAnsi="Georgia"/>
          <w:sz w:val="24"/>
          <w:szCs w:val="24"/>
        </w:rPr>
      </w:pPr>
      <w:r>
        <w:rPr>
          <w:noProof/>
        </w:rPr>
        <w:drawing>
          <wp:inline distT="0" distB="0" distL="0" distR="0" wp14:anchorId="0AD7A96F" wp14:editId="0E8BAE84">
            <wp:extent cx="4229099" cy="2200275"/>
            <wp:effectExtent l="0" t="0" r="635"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E4863" w:rsidRDefault="00DE4863" w:rsidP="00DE4863">
      <w:pPr>
        <w:keepNext/>
        <w:spacing w:after="120" w:line="240" w:lineRule="auto"/>
        <w:ind w:firstLine="709"/>
        <w:jc w:val="both"/>
        <w:rPr>
          <w:rFonts w:ascii="Georgia" w:hAnsi="Georgia"/>
          <w:b/>
          <w:bCs/>
          <w:sz w:val="24"/>
          <w:szCs w:val="24"/>
        </w:rPr>
      </w:pPr>
      <w:r w:rsidRPr="009F70BF">
        <w:rPr>
          <w:rFonts w:ascii="Georgia" w:hAnsi="Georgia"/>
          <w:b/>
          <w:bCs/>
          <w:sz w:val="24"/>
          <w:szCs w:val="24"/>
        </w:rPr>
        <w:t>Динамика розничного кредитного портфеля, млн. руб.</w:t>
      </w:r>
      <w:r>
        <w:rPr>
          <w:rFonts w:ascii="Georgia" w:hAnsi="Georgia"/>
          <w:b/>
          <w:bCs/>
          <w:sz w:val="24"/>
          <w:szCs w:val="24"/>
        </w:rPr>
        <w:br w:type="page"/>
      </w:r>
    </w:p>
    <w:p w:rsidR="00DE4863" w:rsidRPr="00961F0F" w:rsidRDefault="00DE4863" w:rsidP="00DE4863">
      <w:pPr>
        <w:keepNext/>
        <w:spacing w:after="120" w:line="240" w:lineRule="auto"/>
        <w:ind w:firstLine="709"/>
        <w:jc w:val="both"/>
        <w:rPr>
          <w:rFonts w:ascii="Georgia" w:hAnsi="Georgia"/>
          <w:sz w:val="20"/>
          <w:szCs w:val="20"/>
        </w:rPr>
      </w:pPr>
    </w:p>
    <w:p w:rsidR="00DE4863" w:rsidRPr="009E4486" w:rsidRDefault="00DE4863" w:rsidP="00DE4863">
      <w:pPr>
        <w:spacing w:before="120" w:after="120" w:line="240" w:lineRule="auto"/>
        <w:jc w:val="both"/>
        <w:rPr>
          <w:rFonts w:ascii="Georgia" w:hAnsi="Georgia"/>
          <w:sz w:val="24"/>
          <w:szCs w:val="24"/>
        </w:rPr>
      </w:pPr>
      <w:r w:rsidRPr="009E4486">
        <w:rPr>
          <w:rFonts w:ascii="Georgia" w:hAnsi="Georgia"/>
          <w:sz w:val="24"/>
          <w:szCs w:val="24"/>
        </w:rPr>
        <w:t xml:space="preserve">Основную часть кредитного портфеля населения </w:t>
      </w:r>
      <w:r>
        <w:rPr>
          <w:rFonts w:ascii="Georgia" w:hAnsi="Georgia"/>
          <w:sz w:val="24"/>
          <w:szCs w:val="24"/>
        </w:rPr>
        <w:t xml:space="preserve">по итогам 2015 года </w:t>
      </w:r>
      <w:r w:rsidRPr="009E4486">
        <w:rPr>
          <w:rFonts w:ascii="Georgia" w:hAnsi="Georgia"/>
          <w:sz w:val="24"/>
          <w:szCs w:val="24"/>
        </w:rPr>
        <w:t xml:space="preserve">составляют кредиты, переданные на баланс SPV компаний и </w:t>
      </w:r>
      <w:r w:rsidRPr="00B75A6F">
        <w:rPr>
          <w:rFonts w:ascii="Georgia" w:hAnsi="Georgia"/>
          <w:b/>
          <w:i/>
          <w:sz w:val="24"/>
          <w:szCs w:val="24"/>
        </w:rPr>
        <w:t>ипотечные кредиты</w:t>
      </w:r>
      <w:r w:rsidRPr="009E4486">
        <w:rPr>
          <w:rFonts w:ascii="Georgia" w:hAnsi="Georgia"/>
          <w:sz w:val="24"/>
          <w:szCs w:val="24"/>
        </w:rPr>
        <w:t xml:space="preserve"> – </w:t>
      </w:r>
      <w:r>
        <w:rPr>
          <w:rFonts w:ascii="Georgia" w:hAnsi="Georgia"/>
          <w:sz w:val="24"/>
          <w:szCs w:val="24"/>
        </w:rPr>
        <w:t>56,5</w:t>
      </w:r>
      <w:r w:rsidRPr="009E4486">
        <w:rPr>
          <w:rFonts w:ascii="Georgia" w:hAnsi="Georgia"/>
          <w:sz w:val="24"/>
          <w:szCs w:val="24"/>
        </w:rPr>
        <w:t xml:space="preserve">% или </w:t>
      </w:r>
      <w:r>
        <w:rPr>
          <w:rFonts w:ascii="Georgia" w:hAnsi="Georgia"/>
          <w:sz w:val="24"/>
          <w:szCs w:val="24"/>
        </w:rPr>
        <w:t>2,8</w:t>
      </w:r>
      <w:r w:rsidRPr="009E4486">
        <w:rPr>
          <w:rFonts w:ascii="Georgia" w:hAnsi="Georgia"/>
          <w:sz w:val="24"/>
          <w:szCs w:val="24"/>
        </w:rPr>
        <w:t xml:space="preserve"> мл</w:t>
      </w:r>
      <w:r>
        <w:rPr>
          <w:rFonts w:ascii="Georgia" w:hAnsi="Georgia"/>
          <w:sz w:val="24"/>
          <w:szCs w:val="24"/>
        </w:rPr>
        <w:t>рд. рублей и 32</w:t>
      </w:r>
      <w:r w:rsidRPr="009E4486">
        <w:rPr>
          <w:rFonts w:ascii="Georgia" w:hAnsi="Georgia"/>
          <w:sz w:val="24"/>
          <w:szCs w:val="24"/>
        </w:rPr>
        <w:t>,</w:t>
      </w:r>
      <w:r>
        <w:rPr>
          <w:rFonts w:ascii="Georgia" w:hAnsi="Georgia"/>
          <w:sz w:val="24"/>
          <w:szCs w:val="24"/>
        </w:rPr>
        <w:t>4%</w:t>
      </w:r>
      <w:r w:rsidRPr="009E4486">
        <w:rPr>
          <w:rFonts w:ascii="Georgia" w:hAnsi="Georgia"/>
          <w:sz w:val="24"/>
          <w:szCs w:val="24"/>
        </w:rPr>
        <w:t xml:space="preserve"> или </w:t>
      </w:r>
      <w:r>
        <w:rPr>
          <w:rFonts w:ascii="Georgia" w:hAnsi="Georgia"/>
          <w:sz w:val="24"/>
          <w:szCs w:val="24"/>
        </w:rPr>
        <w:t>1,6</w:t>
      </w:r>
      <w:r w:rsidRPr="009E4486">
        <w:rPr>
          <w:rFonts w:ascii="Georgia" w:hAnsi="Georgia"/>
          <w:sz w:val="24"/>
          <w:szCs w:val="24"/>
        </w:rPr>
        <w:t xml:space="preserve"> мл</w:t>
      </w:r>
      <w:r>
        <w:rPr>
          <w:rFonts w:ascii="Georgia" w:hAnsi="Georgia"/>
          <w:sz w:val="24"/>
          <w:szCs w:val="24"/>
        </w:rPr>
        <w:t>рд</w:t>
      </w:r>
      <w:r w:rsidRPr="009E4486">
        <w:rPr>
          <w:rFonts w:ascii="Georgia" w:hAnsi="Georgia"/>
          <w:sz w:val="24"/>
          <w:szCs w:val="24"/>
        </w:rPr>
        <w:t xml:space="preserve">. руб. </w:t>
      </w:r>
      <w:r w:rsidRPr="00B75A6F">
        <w:rPr>
          <w:rFonts w:ascii="Georgia" w:hAnsi="Georgia"/>
          <w:b/>
          <w:i/>
          <w:sz w:val="24"/>
          <w:szCs w:val="24"/>
        </w:rPr>
        <w:t>Потребительские кредиты</w:t>
      </w:r>
      <w:r w:rsidRPr="009E4486">
        <w:rPr>
          <w:rFonts w:ascii="Georgia" w:hAnsi="Georgia"/>
          <w:sz w:val="24"/>
          <w:szCs w:val="24"/>
        </w:rPr>
        <w:t xml:space="preserve"> в структуре кредитного портфеля составили </w:t>
      </w:r>
      <w:r>
        <w:rPr>
          <w:rFonts w:ascii="Georgia" w:hAnsi="Georgia"/>
          <w:sz w:val="24"/>
          <w:szCs w:val="24"/>
        </w:rPr>
        <w:t>10,7</w:t>
      </w:r>
      <w:r w:rsidRPr="009E4486">
        <w:rPr>
          <w:rFonts w:ascii="Georgia" w:hAnsi="Georgia"/>
          <w:sz w:val="24"/>
          <w:szCs w:val="24"/>
        </w:rPr>
        <w:t xml:space="preserve">% или </w:t>
      </w:r>
      <w:r>
        <w:rPr>
          <w:rFonts w:ascii="Georgia" w:hAnsi="Georgia"/>
          <w:sz w:val="24"/>
          <w:szCs w:val="24"/>
        </w:rPr>
        <w:t>547</w:t>
      </w:r>
      <w:r w:rsidRPr="009E4486">
        <w:rPr>
          <w:rFonts w:ascii="Georgia" w:hAnsi="Georgia"/>
          <w:sz w:val="24"/>
          <w:szCs w:val="24"/>
        </w:rPr>
        <w:t xml:space="preserve"> млн. рублей. </w:t>
      </w:r>
      <w:r w:rsidRPr="00B75A6F">
        <w:rPr>
          <w:rFonts w:ascii="Georgia" w:hAnsi="Georgia"/>
          <w:b/>
          <w:i/>
          <w:sz w:val="24"/>
          <w:szCs w:val="24"/>
        </w:rPr>
        <w:t>Автокредиты</w:t>
      </w:r>
      <w:r w:rsidRPr="009E4486">
        <w:rPr>
          <w:rFonts w:ascii="Georgia" w:hAnsi="Georgia"/>
          <w:sz w:val="24"/>
          <w:szCs w:val="24"/>
        </w:rPr>
        <w:t xml:space="preserve"> занимают не более </w:t>
      </w:r>
      <w:r>
        <w:rPr>
          <w:rFonts w:ascii="Georgia" w:hAnsi="Georgia"/>
          <w:sz w:val="24"/>
          <w:szCs w:val="24"/>
        </w:rPr>
        <w:t>0</w:t>
      </w:r>
      <w:r w:rsidR="00FE6216">
        <w:rPr>
          <w:rFonts w:ascii="Georgia" w:hAnsi="Georgia"/>
          <w:sz w:val="24"/>
          <w:szCs w:val="24"/>
        </w:rPr>
        <w:t>,</w:t>
      </w:r>
      <w:r>
        <w:rPr>
          <w:rFonts w:ascii="Georgia" w:hAnsi="Georgia"/>
          <w:sz w:val="24"/>
          <w:szCs w:val="24"/>
        </w:rPr>
        <w:t>4</w:t>
      </w:r>
      <w:r w:rsidRPr="009E4486">
        <w:rPr>
          <w:rFonts w:ascii="Georgia" w:hAnsi="Georgia"/>
          <w:sz w:val="24"/>
          <w:szCs w:val="24"/>
        </w:rPr>
        <w:t>% всех выданных ссуд физическим лицам.</w:t>
      </w:r>
    </w:p>
    <w:p w:rsidR="00DE4863" w:rsidRPr="0022286C" w:rsidRDefault="00DE4863" w:rsidP="00DE4863">
      <w:pPr>
        <w:pStyle w:val="2014"/>
        <w:rPr>
          <w:rFonts w:ascii="Cambria" w:hAnsi="Cambria"/>
          <w:b/>
          <w:i/>
        </w:rPr>
      </w:pPr>
      <w:r w:rsidRPr="009C4DAC">
        <w:rPr>
          <w:b/>
          <w:i/>
          <w:color w:val="365F91" w:themeColor="accent1" w:themeShade="BF"/>
          <w:sz w:val="28"/>
        </w:rPr>
        <w:t>Вклад</w:t>
      </w:r>
      <w:r>
        <w:rPr>
          <w:b/>
          <w:i/>
          <w:color w:val="365F91" w:themeColor="accent1" w:themeShade="BF"/>
          <w:sz w:val="28"/>
        </w:rPr>
        <w:t>ы</w:t>
      </w:r>
    </w:p>
    <w:p w:rsidR="00DE4863" w:rsidRDefault="00DE4863" w:rsidP="00DE4863">
      <w:pPr>
        <w:spacing w:after="120" w:line="240" w:lineRule="auto"/>
        <w:contextualSpacing/>
        <w:jc w:val="both"/>
        <w:rPr>
          <w:rFonts w:ascii="Georgia" w:hAnsi="Georgia"/>
          <w:sz w:val="24"/>
          <w:szCs w:val="24"/>
        </w:rPr>
      </w:pPr>
      <w:r>
        <w:rPr>
          <w:rFonts w:ascii="Georgia" w:hAnsi="Georgia"/>
          <w:sz w:val="24"/>
          <w:szCs w:val="24"/>
        </w:rPr>
        <w:t>П</w:t>
      </w:r>
      <w:r w:rsidRPr="009E4486">
        <w:rPr>
          <w:rFonts w:ascii="Georgia" w:hAnsi="Georgia"/>
          <w:sz w:val="24"/>
          <w:szCs w:val="24"/>
        </w:rPr>
        <w:t>АО «ИнтехБанк» в 201</w:t>
      </w:r>
      <w:r>
        <w:rPr>
          <w:rFonts w:ascii="Georgia" w:hAnsi="Georgia"/>
          <w:sz w:val="24"/>
          <w:szCs w:val="24"/>
        </w:rPr>
        <w:t>5</w:t>
      </w:r>
      <w:r w:rsidRPr="009E4486">
        <w:rPr>
          <w:rFonts w:ascii="Georgia" w:hAnsi="Georgia"/>
          <w:sz w:val="24"/>
          <w:szCs w:val="24"/>
        </w:rPr>
        <w:t xml:space="preserve"> году </w:t>
      </w:r>
      <w:r>
        <w:rPr>
          <w:rFonts w:ascii="Georgia" w:hAnsi="Georgia"/>
          <w:sz w:val="24"/>
          <w:szCs w:val="24"/>
        </w:rPr>
        <w:t>удержал</w:t>
      </w:r>
      <w:r w:rsidRPr="009E4486">
        <w:rPr>
          <w:rFonts w:ascii="Georgia" w:hAnsi="Georgia"/>
          <w:sz w:val="24"/>
          <w:szCs w:val="24"/>
        </w:rPr>
        <w:t xml:space="preserve"> свои позиции также в сегменте привлечения вкладов физических лиц в Р</w:t>
      </w:r>
      <w:r>
        <w:rPr>
          <w:rFonts w:ascii="Georgia" w:hAnsi="Georgia"/>
          <w:sz w:val="24"/>
          <w:szCs w:val="24"/>
        </w:rPr>
        <w:t xml:space="preserve">еспублике </w:t>
      </w:r>
      <w:r w:rsidRPr="009E4486">
        <w:rPr>
          <w:rFonts w:ascii="Georgia" w:hAnsi="Georgia"/>
          <w:sz w:val="24"/>
          <w:szCs w:val="24"/>
        </w:rPr>
        <w:t>Т</w:t>
      </w:r>
      <w:r>
        <w:rPr>
          <w:rFonts w:ascii="Georgia" w:hAnsi="Georgia"/>
          <w:sz w:val="24"/>
          <w:szCs w:val="24"/>
        </w:rPr>
        <w:t>атарстан, несмотря на незначительное снижение доли рынка</w:t>
      </w:r>
      <w:r w:rsidRPr="009E4486">
        <w:rPr>
          <w:rFonts w:ascii="Georgia" w:hAnsi="Georgia"/>
          <w:sz w:val="24"/>
          <w:szCs w:val="24"/>
        </w:rPr>
        <w:t xml:space="preserve">. </w:t>
      </w:r>
      <w:r>
        <w:rPr>
          <w:rFonts w:ascii="Georgia" w:hAnsi="Georgia"/>
          <w:sz w:val="24"/>
          <w:szCs w:val="24"/>
        </w:rPr>
        <w:t xml:space="preserve">По итогам года Банк занимает 5-е место </w:t>
      </w:r>
      <w:r w:rsidRPr="009E4486">
        <w:rPr>
          <w:rFonts w:ascii="Georgia" w:hAnsi="Georgia"/>
          <w:sz w:val="24"/>
          <w:szCs w:val="24"/>
        </w:rPr>
        <w:t>на рынке привлеченных вкладов физических лиц в Р</w:t>
      </w:r>
      <w:r>
        <w:rPr>
          <w:rFonts w:ascii="Georgia" w:hAnsi="Georgia"/>
          <w:sz w:val="24"/>
          <w:szCs w:val="24"/>
        </w:rPr>
        <w:t xml:space="preserve">еспублике </w:t>
      </w:r>
      <w:r w:rsidRPr="009E4486">
        <w:rPr>
          <w:rFonts w:ascii="Georgia" w:hAnsi="Georgia"/>
          <w:sz w:val="24"/>
          <w:szCs w:val="24"/>
        </w:rPr>
        <w:t>Т</w:t>
      </w:r>
      <w:r>
        <w:rPr>
          <w:rFonts w:ascii="Georgia" w:hAnsi="Georgia"/>
          <w:sz w:val="24"/>
          <w:szCs w:val="24"/>
        </w:rPr>
        <w:t>атарстан с долей рынка в 4,99</w:t>
      </w:r>
      <w:r w:rsidRPr="009E4486">
        <w:rPr>
          <w:rFonts w:ascii="Georgia" w:hAnsi="Georgia"/>
          <w:sz w:val="24"/>
          <w:szCs w:val="24"/>
        </w:rPr>
        <w:t>%.</w:t>
      </w:r>
    </w:p>
    <w:p w:rsidR="00DE4863" w:rsidRDefault="00DE4863" w:rsidP="00DE4863">
      <w:pPr>
        <w:spacing w:after="120" w:line="240" w:lineRule="auto"/>
        <w:contextualSpacing/>
        <w:jc w:val="center"/>
        <w:rPr>
          <w:rFonts w:ascii="Georgia" w:hAnsi="Georgia"/>
          <w:b/>
          <w:bCs/>
          <w:sz w:val="24"/>
          <w:szCs w:val="24"/>
        </w:rPr>
      </w:pPr>
      <w:r>
        <w:rPr>
          <w:noProof/>
        </w:rPr>
        <w:drawing>
          <wp:inline distT="0" distB="0" distL="0" distR="0" wp14:anchorId="1FB2B15B" wp14:editId="254ABAC4">
            <wp:extent cx="4762500" cy="1466849"/>
            <wp:effectExtent l="0" t="0" r="0"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E4863" w:rsidRPr="00183682" w:rsidRDefault="00DE4863" w:rsidP="00DE4863">
      <w:pPr>
        <w:spacing w:after="120" w:line="240" w:lineRule="auto"/>
        <w:contextualSpacing/>
        <w:jc w:val="center"/>
        <w:rPr>
          <w:rFonts w:ascii="Georgia" w:hAnsi="Georgia"/>
          <w:b/>
          <w:bCs/>
          <w:sz w:val="24"/>
          <w:szCs w:val="20"/>
        </w:rPr>
      </w:pPr>
      <w:r w:rsidRPr="00183682">
        <w:rPr>
          <w:rFonts w:ascii="Georgia" w:hAnsi="Georgia"/>
          <w:b/>
          <w:bCs/>
          <w:sz w:val="24"/>
          <w:szCs w:val="24"/>
        </w:rPr>
        <w:t xml:space="preserve">Рыночная доля </w:t>
      </w:r>
      <w:r>
        <w:rPr>
          <w:rFonts w:ascii="Georgia" w:hAnsi="Georgia"/>
          <w:b/>
          <w:bCs/>
          <w:sz w:val="24"/>
          <w:szCs w:val="24"/>
        </w:rPr>
        <w:t>П</w:t>
      </w:r>
      <w:r w:rsidRPr="00183682">
        <w:rPr>
          <w:rFonts w:ascii="Georgia" w:hAnsi="Georgia"/>
          <w:b/>
          <w:bCs/>
          <w:sz w:val="24"/>
          <w:szCs w:val="24"/>
        </w:rPr>
        <w:t>АО «ИнтехБанк» в сегменте привлеченных вкладов физических лиц в РТ</w:t>
      </w:r>
    </w:p>
    <w:p w:rsidR="00DE4863" w:rsidRPr="00183682" w:rsidRDefault="00DE4863" w:rsidP="00DE4863">
      <w:pPr>
        <w:keepNext/>
        <w:spacing w:after="0" w:line="240" w:lineRule="auto"/>
        <w:jc w:val="both"/>
        <w:rPr>
          <w:rFonts w:ascii="Georgia" w:hAnsi="Georgia"/>
          <w:bCs/>
          <w:sz w:val="12"/>
          <w:szCs w:val="12"/>
        </w:rPr>
      </w:pPr>
    </w:p>
    <w:p w:rsidR="00DE4863" w:rsidRDefault="00DE4863" w:rsidP="00DE4863">
      <w:pPr>
        <w:keepNext/>
        <w:spacing w:after="0" w:line="240" w:lineRule="auto"/>
        <w:jc w:val="both"/>
        <w:rPr>
          <w:rFonts w:ascii="Cambria" w:hAnsi="Cambria"/>
        </w:rPr>
      </w:pPr>
      <w:r w:rsidRPr="00183682">
        <w:rPr>
          <w:rFonts w:ascii="Georgia" w:hAnsi="Georgia"/>
          <w:bCs/>
          <w:sz w:val="24"/>
          <w:szCs w:val="24"/>
        </w:rPr>
        <w:t>На 1 января 201</w:t>
      </w:r>
      <w:r>
        <w:rPr>
          <w:rFonts w:ascii="Georgia" w:hAnsi="Georgia"/>
          <w:bCs/>
          <w:sz w:val="24"/>
          <w:szCs w:val="24"/>
        </w:rPr>
        <w:t>6</w:t>
      </w:r>
      <w:r w:rsidRPr="00183682">
        <w:rPr>
          <w:rFonts w:ascii="Georgia" w:hAnsi="Georgia"/>
          <w:bCs/>
          <w:sz w:val="24"/>
          <w:szCs w:val="24"/>
        </w:rPr>
        <w:t xml:space="preserve"> года в Банке открыто </w:t>
      </w:r>
      <w:r>
        <w:rPr>
          <w:rFonts w:ascii="Georgia" w:hAnsi="Georgia"/>
          <w:bCs/>
          <w:sz w:val="24"/>
          <w:szCs w:val="24"/>
        </w:rPr>
        <w:t>79,2</w:t>
      </w:r>
      <w:r w:rsidRPr="00183682">
        <w:rPr>
          <w:rFonts w:ascii="Georgia" w:hAnsi="Georgia"/>
          <w:bCs/>
          <w:sz w:val="24"/>
          <w:szCs w:val="24"/>
        </w:rPr>
        <w:t xml:space="preserve"> тысяч счетов физических лиц на общую</w:t>
      </w:r>
      <w:r w:rsidRPr="00183682">
        <w:rPr>
          <w:rFonts w:ascii="Georgia" w:hAnsi="Georgia"/>
          <w:sz w:val="24"/>
          <w:szCs w:val="24"/>
        </w:rPr>
        <w:t xml:space="preserve"> сумму</w:t>
      </w:r>
      <w:r w:rsidRPr="009C4DAC">
        <w:rPr>
          <w:rFonts w:ascii="Georgia" w:hAnsi="Georgia"/>
          <w:sz w:val="24"/>
          <w:szCs w:val="24"/>
        </w:rPr>
        <w:t xml:space="preserve"> 1</w:t>
      </w:r>
      <w:r>
        <w:rPr>
          <w:rFonts w:ascii="Georgia" w:hAnsi="Georgia"/>
          <w:sz w:val="24"/>
          <w:szCs w:val="24"/>
        </w:rPr>
        <w:t>4</w:t>
      </w:r>
      <w:r w:rsidRPr="009C4DAC">
        <w:rPr>
          <w:rFonts w:ascii="Georgia" w:hAnsi="Georgia"/>
          <w:sz w:val="24"/>
          <w:szCs w:val="24"/>
        </w:rPr>
        <w:t xml:space="preserve"> млрд. рублей, что на </w:t>
      </w:r>
      <w:r>
        <w:rPr>
          <w:rFonts w:ascii="Georgia" w:hAnsi="Georgia"/>
          <w:sz w:val="24"/>
          <w:szCs w:val="24"/>
        </w:rPr>
        <w:t>21,3</w:t>
      </w:r>
      <w:r w:rsidRPr="009C4DAC">
        <w:rPr>
          <w:rFonts w:ascii="Georgia" w:hAnsi="Georgia"/>
          <w:sz w:val="24"/>
          <w:szCs w:val="24"/>
        </w:rPr>
        <w:t>% больше, чем на 1 января 201</w:t>
      </w:r>
      <w:r>
        <w:rPr>
          <w:rFonts w:ascii="Georgia" w:hAnsi="Georgia"/>
          <w:sz w:val="24"/>
          <w:szCs w:val="24"/>
        </w:rPr>
        <w:t>5</w:t>
      </w:r>
      <w:r w:rsidRPr="009C4DAC">
        <w:rPr>
          <w:rFonts w:ascii="Georgia" w:hAnsi="Georgia"/>
          <w:sz w:val="24"/>
          <w:szCs w:val="24"/>
        </w:rPr>
        <w:t xml:space="preserve"> года – 1</w:t>
      </w:r>
      <w:r>
        <w:rPr>
          <w:rFonts w:ascii="Georgia" w:hAnsi="Georgia"/>
          <w:sz w:val="24"/>
          <w:szCs w:val="24"/>
        </w:rPr>
        <w:t>1</w:t>
      </w:r>
      <w:r w:rsidRPr="009C4DAC">
        <w:rPr>
          <w:rFonts w:ascii="Georgia" w:hAnsi="Georgia"/>
          <w:sz w:val="24"/>
          <w:szCs w:val="24"/>
        </w:rPr>
        <w:t xml:space="preserve"> млрд. рублей. При этом остатки на срочных вкладах составляют </w:t>
      </w:r>
      <w:r>
        <w:rPr>
          <w:rFonts w:ascii="Georgia" w:hAnsi="Georgia"/>
          <w:sz w:val="24"/>
          <w:szCs w:val="24"/>
        </w:rPr>
        <w:t>13,3</w:t>
      </w:r>
      <w:r w:rsidRPr="009C4DAC">
        <w:rPr>
          <w:rFonts w:ascii="Georgia" w:hAnsi="Georgia"/>
          <w:sz w:val="24"/>
          <w:szCs w:val="24"/>
        </w:rPr>
        <w:t xml:space="preserve"> млрд. рублей или 9</w:t>
      </w:r>
      <w:r>
        <w:rPr>
          <w:rFonts w:ascii="Georgia" w:hAnsi="Georgia"/>
          <w:sz w:val="24"/>
          <w:szCs w:val="24"/>
        </w:rPr>
        <w:t>5</w:t>
      </w:r>
      <w:r w:rsidRPr="009C4DAC">
        <w:rPr>
          <w:rFonts w:ascii="Georgia" w:hAnsi="Georgia"/>
          <w:sz w:val="24"/>
          <w:szCs w:val="24"/>
        </w:rPr>
        <w:t>% всех ос</w:t>
      </w:r>
      <w:r>
        <w:rPr>
          <w:rFonts w:ascii="Georgia" w:hAnsi="Georgia"/>
          <w:sz w:val="24"/>
          <w:szCs w:val="24"/>
        </w:rPr>
        <w:t>татков денежных средств на счет</w:t>
      </w:r>
      <w:r w:rsidRPr="009C4DAC">
        <w:rPr>
          <w:rFonts w:ascii="Georgia" w:hAnsi="Georgia"/>
          <w:sz w:val="24"/>
          <w:szCs w:val="24"/>
        </w:rPr>
        <w:t>ах физических лиц.</w:t>
      </w:r>
    </w:p>
    <w:p w:rsidR="00DE4863" w:rsidRPr="00D06AAD" w:rsidRDefault="00DE4863" w:rsidP="00DE4863">
      <w:pPr>
        <w:spacing w:after="120" w:line="240" w:lineRule="auto"/>
        <w:jc w:val="both"/>
        <w:rPr>
          <w:rFonts w:ascii="Georgia" w:hAnsi="Georgia"/>
          <w:sz w:val="24"/>
          <w:szCs w:val="24"/>
        </w:rPr>
      </w:pPr>
    </w:p>
    <w:p w:rsidR="00DE4863" w:rsidRDefault="00DE4863" w:rsidP="00DE4863">
      <w:pPr>
        <w:spacing w:after="0" w:line="240" w:lineRule="auto"/>
        <w:jc w:val="center"/>
        <w:rPr>
          <w:rFonts w:ascii="Cambria" w:hAnsi="Cambria"/>
        </w:rPr>
      </w:pPr>
      <w:r>
        <w:rPr>
          <w:noProof/>
        </w:rPr>
        <w:drawing>
          <wp:inline distT="0" distB="0" distL="0" distR="0" wp14:anchorId="3EEBA85A" wp14:editId="71A6528B">
            <wp:extent cx="5267325" cy="2638425"/>
            <wp:effectExtent l="0" t="0" r="0" b="0"/>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E4863" w:rsidRPr="008A6FFF" w:rsidRDefault="00DE4863" w:rsidP="00DE4863">
      <w:pPr>
        <w:spacing w:before="120" w:after="120" w:line="240" w:lineRule="auto"/>
        <w:jc w:val="center"/>
        <w:rPr>
          <w:rFonts w:ascii="Georgia" w:hAnsi="Georgia"/>
          <w:sz w:val="24"/>
          <w:szCs w:val="24"/>
        </w:rPr>
      </w:pPr>
      <w:r w:rsidRPr="008A6FFF">
        <w:rPr>
          <w:rFonts w:ascii="Georgia" w:hAnsi="Georgia"/>
          <w:b/>
          <w:bCs/>
          <w:sz w:val="24"/>
          <w:szCs w:val="24"/>
        </w:rPr>
        <w:t>Динамика вкладов по срокам, млн. руб.</w:t>
      </w:r>
    </w:p>
    <w:p w:rsidR="00DE4863" w:rsidRDefault="00DE4863" w:rsidP="00DE4863">
      <w:pPr>
        <w:spacing w:after="120" w:line="240" w:lineRule="auto"/>
        <w:jc w:val="both"/>
        <w:rPr>
          <w:rFonts w:ascii="Georgia" w:hAnsi="Georgia"/>
          <w:b/>
          <w:i/>
          <w:color w:val="365F91" w:themeColor="accent1" w:themeShade="BF"/>
          <w:sz w:val="28"/>
          <w:szCs w:val="24"/>
        </w:rPr>
      </w:pPr>
    </w:p>
    <w:p w:rsidR="00DE4863" w:rsidRDefault="00DE4863" w:rsidP="00DE4863">
      <w:pPr>
        <w:spacing w:after="120" w:line="240" w:lineRule="auto"/>
        <w:jc w:val="both"/>
        <w:rPr>
          <w:rFonts w:ascii="Georgia" w:hAnsi="Georgia"/>
          <w:b/>
          <w:i/>
          <w:color w:val="365F91" w:themeColor="accent1" w:themeShade="BF"/>
          <w:sz w:val="28"/>
          <w:szCs w:val="24"/>
        </w:rPr>
      </w:pPr>
    </w:p>
    <w:p w:rsidR="00DE4863" w:rsidRDefault="00DE4863" w:rsidP="00DE4863">
      <w:pPr>
        <w:spacing w:after="120" w:line="240" w:lineRule="auto"/>
        <w:jc w:val="both"/>
        <w:rPr>
          <w:rFonts w:ascii="Georgia" w:hAnsi="Georgia"/>
          <w:b/>
          <w:i/>
          <w:color w:val="365F91" w:themeColor="accent1" w:themeShade="BF"/>
          <w:sz w:val="28"/>
          <w:szCs w:val="24"/>
        </w:rPr>
      </w:pPr>
    </w:p>
    <w:p w:rsidR="00C562E5" w:rsidRPr="00961F0F" w:rsidRDefault="00C562E5" w:rsidP="00DE4863">
      <w:pPr>
        <w:spacing w:after="120" w:line="240" w:lineRule="auto"/>
        <w:jc w:val="both"/>
        <w:rPr>
          <w:rFonts w:ascii="Georgia" w:hAnsi="Georgia"/>
          <w:b/>
          <w:i/>
          <w:color w:val="365F91" w:themeColor="accent1" w:themeShade="BF"/>
          <w:sz w:val="20"/>
          <w:szCs w:val="20"/>
        </w:rPr>
      </w:pPr>
    </w:p>
    <w:p w:rsidR="00DE4863" w:rsidRPr="00DC6399" w:rsidRDefault="00DE4863" w:rsidP="00DE4863">
      <w:pPr>
        <w:spacing w:after="120" w:line="240" w:lineRule="auto"/>
        <w:jc w:val="both"/>
        <w:rPr>
          <w:rFonts w:ascii="Georgia" w:hAnsi="Georgia"/>
          <w:b/>
          <w:i/>
          <w:color w:val="365F91" w:themeColor="accent1" w:themeShade="BF"/>
          <w:sz w:val="28"/>
          <w:szCs w:val="24"/>
        </w:rPr>
      </w:pPr>
      <w:r>
        <w:rPr>
          <w:rFonts w:ascii="Georgia" w:hAnsi="Georgia"/>
          <w:b/>
          <w:i/>
          <w:color w:val="365F91" w:themeColor="accent1" w:themeShade="BF"/>
          <w:sz w:val="28"/>
          <w:szCs w:val="24"/>
        </w:rPr>
        <w:t>П</w:t>
      </w:r>
      <w:r w:rsidRPr="00DC6399">
        <w:rPr>
          <w:rFonts w:ascii="Georgia" w:hAnsi="Georgia"/>
          <w:b/>
          <w:i/>
          <w:color w:val="365F91" w:themeColor="accent1" w:themeShade="BF"/>
          <w:sz w:val="28"/>
          <w:szCs w:val="24"/>
        </w:rPr>
        <w:t>ластиковые карты</w:t>
      </w:r>
    </w:p>
    <w:p w:rsidR="00DE4863" w:rsidRDefault="00DE4863" w:rsidP="00DE4863">
      <w:pPr>
        <w:spacing w:after="120" w:line="240" w:lineRule="auto"/>
        <w:jc w:val="both"/>
        <w:rPr>
          <w:rFonts w:ascii="Georgia" w:hAnsi="Georgia"/>
          <w:bCs/>
          <w:sz w:val="24"/>
          <w:szCs w:val="24"/>
        </w:rPr>
      </w:pPr>
      <w:r w:rsidRPr="008A6FFF">
        <w:rPr>
          <w:rFonts w:ascii="Georgia" w:hAnsi="Georgia"/>
          <w:bCs/>
          <w:sz w:val="24"/>
          <w:szCs w:val="24"/>
        </w:rPr>
        <w:t>В 201</w:t>
      </w:r>
      <w:r>
        <w:rPr>
          <w:rFonts w:ascii="Georgia" w:hAnsi="Georgia"/>
          <w:bCs/>
          <w:sz w:val="24"/>
          <w:szCs w:val="24"/>
        </w:rPr>
        <w:t>5 году было эмитировано 3 057</w:t>
      </w:r>
      <w:r w:rsidRPr="008A6FFF">
        <w:rPr>
          <w:rFonts w:ascii="Georgia" w:hAnsi="Georgia"/>
          <w:bCs/>
          <w:sz w:val="24"/>
          <w:szCs w:val="24"/>
        </w:rPr>
        <w:t xml:space="preserve"> новых пластиковых карт. В результате количество карт, находящихся в обращении, на 01.01.201</w:t>
      </w:r>
      <w:r>
        <w:rPr>
          <w:rFonts w:ascii="Georgia" w:hAnsi="Georgia"/>
          <w:bCs/>
          <w:sz w:val="24"/>
          <w:szCs w:val="24"/>
        </w:rPr>
        <w:t>6</w:t>
      </w:r>
      <w:r w:rsidRPr="008A6FFF">
        <w:rPr>
          <w:rFonts w:ascii="Georgia" w:hAnsi="Georgia"/>
          <w:bCs/>
          <w:sz w:val="24"/>
          <w:szCs w:val="24"/>
        </w:rPr>
        <w:t xml:space="preserve">г. составило </w:t>
      </w:r>
      <w:r>
        <w:rPr>
          <w:rFonts w:ascii="Georgia" w:hAnsi="Georgia"/>
          <w:bCs/>
          <w:sz w:val="24"/>
          <w:szCs w:val="24"/>
        </w:rPr>
        <w:t>17 154 штук с остатками в 359</w:t>
      </w:r>
      <w:r w:rsidRPr="008A6FFF">
        <w:rPr>
          <w:rFonts w:ascii="Georgia" w:hAnsi="Georgia"/>
          <w:bCs/>
          <w:sz w:val="24"/>
          <w:szCs w:val="24"/>
        </w:rPr>
        <w:t xml:space="preserve"> млн. рублей. В 2014 году было принято решение о смене расчетного банка в платежной системе MasterCard, что позволило расширить сеть банкоматов. Клиенты ОАО «ИнтехБанк» получили возможность снимать денежные средства с карт без комиссии в банкоматах Татфондбанка</w:t>
      </w:r>
      <w:r>
        <w:rPr>
          <w:rFonts w:ascii="Georgia" w:hAnsi="Georgia"/>
          <w:bCs/>
          <w:sz w:val="24"/>
          <w:szCs w:val="24"/>
        </w:rPr>
        <w:t xml:space="preserve"> </w:t>
      </w:r>
      <w:r w:rsidRPr="008A6FFF">
        <w:rPr>
          <w:rFonts w:ascii="Georgia" w:hAnsi="Georgia"/>
          <w:bCs/>
          <w:sz w:val="24"/>
          <w:szCs w:val="24"/>
        </w:rPr>
        <w:t>и Банковской группы</w:t>
      </w:r>
      <w:r w:rsidRPr="0022286C">
        <w:rPr>
          <w:rFonts w:ascii="Cambria" w:hAnsi="Cambria"/>
        </w:rPr>
        <w:t xml:space="preserve"> </w:t>
      </w:r>
      <w:r>
        <w:rPr>
          <w:rFonts w:ascii="Georgia" w:hAnsi="Georgia"/>
          <w:bCs/>
          <w:sz w:val="24"/>
          <w:szCs w:val="24"/>
        </w:rPr>
        <w:t>«</w:t>
      </w:r>
      <w:r w:rsidRPr="008A6FFF">
        <w:rPr>
          <w:rFonts w:ascii="Georgia" w:hAnsi="Georgia"/>
          <w:bCs/>
          <w:sz w:val="24"/>
          <w:szCs w:val="24"/>
        </w:rPr>
        <w:t>Зенит</w:t>
      </w:r>
      <w:r>
        <w:rPr>
          <w:rFonts w:ascii="Georgia" w:hAnsi="Georgia"/>
          <w:bCs/>
          <w:sz w:val="24"/>
          <w:szCs w:val="24"/>
        </w:rPr>
        <w:t>»</w:t>
      </w:r>
      <w:r w:rsidRPr="008A6FFF">
        <w:rPr>
          <w:rFonts w:ascii="Georgia" w:hAnsi="Georgia"/>
          <w:bCs/>
          <w:sz w:val="24"/>
          <w:szCs w:val="24"/>
        </w:rPr>
        <w:t>.</w:t>
      </w:r>
    </w:p>
    <w:p w:rsidR="00DE4863" w:rsidRDefault="00DE4863" w:rsidP="00DE4863">
      <w:pPr>
        <w:spacing w:after="0" w:line="240" w:lineRule="auto"/>
        <w:jc w:val="center"/>
        <w:rPr>
          <w:rFonts w:ascii="Georgia" w:hAnsi="Georgia"/>
          <w:bCs/>
          <w:sz w:val="24"/>
          <w:szCs w:val="24"/>
        </w:rPr>
      </w:pPr>
      <w:r>
        <w:rPr>
          <w:noProof/>
        </w:rPr>
        <w:drawing>
          <wp:inline distT="0" distB="0" distL="0" distR="0" wp14:anchorId="14B99423" wp14:editId="2E74BCEF">
            <wp:extent cx="5153025" cy="2486025"/>
            <wp:effectExtent l="0" t="0" r="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E4863" w:rsidRDefault="00DE4863" w:rsidP="00DE4863">
      <w:pPr>
        <w:tabs>
          <w:tab w:val="left" w:pos="2920"/>
        </w:tabs>
        <w:spacing w:before="120" w:after="120" w:line="240" w:lineRule="auto"/>
        <w:jc w:val="center"/>
        <w:rPr>
          <w:rFonts w:ascii="Georgia" w:hAnsi="Georgia"/>
          <w:b/>
          <w:bCs/>
          <w:sz w:val="24"/>
          <w:szCs w:val="24"/>
        </w:rPr>
      </w:pPr>
      <w:r w:rsidRPr="002443BB">
        <w:rPr>
          <w:rFonts w:ascii="Georgia" w:hAnsi="Georgia"/>
          <w:b/>
          <w:bCs/>
          <w:sz w:val="24"/>
          <w:szCs w:val="24"/>
        </w:rPr>
        <w:t>Динамика остатков средств на карточных счетах</w:t>
      </w:r>
    </w:p>
    <w:p w:rsidR="00DE4863" w:rsidRDefault="00DE4863" w:rsidP="00DE4863">
      <w:pPr>
        <w:tabs>
          <w:tab w:val="left" w:pos="2920"/>
        </w:tabs>
        <w:spacing w:after="120" w:line="240" w:lineRule="auto"/>
        <w:jc w:val="both"/>
        <w:rPr>
          <w:rFonts w:ascii="Georgia" w:hAnsi="Georgia"/>
          <w:bCs/>
          <w:sz w:val="24"/>
          <w:szCs w:val="24"/>
        </w:rPr>
      </w:pPr>
      <w:r w:rsidRPr="008A6FFF">
        <w:rPr>
          <w:rFonts w:ascii="Georgia" w:hAnsi="Georgia"/>
          <w:bCs/>
          <w:sz w:val="24"/>
          <w:szCs w:val="24"/>
        </w:rPr>
        <w:t xml:space="preserve">За отчетный год Банком получен чистый комиссионный доход по операциям с пластиковыми картами в размере </w:t>
      </w:r>
      <w:r>
        <w:rPr>
          <w:rFonts w:ascii="Georgia" w:hAnsi="Georgia"/>
          <w:bCs/>
          <w:sz w:val="24"/>
          <w:szCs w:val="24"/>
        </w:rPr>
        <w:t>6,4</w:t>
      </w:r>
      <w:r w:rsidRPr="008A6FFF">
        <w:rPr>
          <w:rFonts w:ascii="Georgia" w:hAnsi="Georgia"/>
          <w:bCs/>
          <w:sz w:val="24"/>
          <w:szCs w:val="24"/>
        </w:rPr>
        <w:t xml:space="preserve"> млн. рублей, что на </w:t>
      </w:r>
      <w:r>
        <w:rPr>
          <w:rFonts w:ascii="Georgia" w:hAnsi="Georgia"/>
          <w:bCs/>
          <w:sz w:val="24"/>
          <w:szCs w:val="24"/>
        </w:rPr>
        <w:t>21</w:t>
      </w:r>
      <w:r w:rsidRPr="008A6FFF">
        <w:rPr>
          <w:rFonts w:ascii="Georgia" w:hAnsi="Georgia"/>
          <w:bCs/>
          <w:sz w:val="24"/>
          <w:szCs w:val="24"/>
        </w:rPr>
        <w:t>% больше результата 201</w:t>
      </w:r>
      <w:r>
        <w:rPr>
          <w:rFonts w:ascii="Georgia" w:hAnsi="Georgia"/>
          <w:bCs/>
          <w:sz w:val="24"/>
          <w:szCs w:val="24"/>
        </w:rPr>
        <w:t>4</w:t>
      </w:r>
      <w:r w:rsidRPr="008A6FFF">
        <w:rPr>
          <w:rFonts w:ascii="Georgia" w:hAnsi="Georgia"/>
          <w:bCs/>
          <w:sz w:val="24"/>
          <w:szCs w:val="24"/>
        </w:rPr>
        <w:t xml:space="preserve"> года.</w:t>
      </w:r>
    </w:p>
    <w:p w:rsidR="005203F5" w:rsidRPr="00DC6399" w:rsidRDefault="005203F5" w:rsidP="005203F5">
      <w:pPr>
        <w:tabs>
          <w:tab w:val="left" w:pos="2920"/>
        </w:tabs>
        <w:spacing w:after="120" w:line="240" w:lineRule="auto"/>
        <w:jc w:val="both"/>
        <w:rPr>
          <w:rFonts w:ascii="Georgia" w:hAnsi="Georgia"/>
          <w:b/>
          <w:i/>
          <w:color w:val="365F91" w:themeColor="accent1" w:themeShade="BF"/>
          <w:sz w:val="28"/>
          <w:szCs w:val="24"/>
        </w:rPr>
      </w:pPr>
      <w:r w:rsidRPr="00DC6399">
        <w:rPr>
          <w:rFonts w:ascii="Georgia" w:hAnsi="Georgia"/>
          <w:b/>
          <w:i/>
          <w:color w:val="365F91" w:themeColor="accent1" w:themeShade="BF"/>
          <w:sz w:val="28"/>
          <w:szCs w:val="24"/>
        </w:rPr>
        <w:t>Диста</w:t>
      </w:r>
      <w:r>
        <w:rPr>
          <w:rFonts w:ascii="Georgia" w:hAnsi="Georgia"/>
          <w:b/>
          <w:i/>
          <w:color w:val="365F91" w:themeColor="accent1" w:themeShade="BF"/>
          <w:sz w:val="28"/>
          <w:szCs w:val="24"/>
        </w:rPr>
        <w:t>нционное банковское обслуживание, переводы</w:t>
      </w:r>
    </w:p>
    <w:p w:rsidR="005203F5" w:rsidRDefault="005203F5" w:rsidP="005203F5">
      <w:pPr>
        <w:tabs>
          <w:tab w:val="left" w:pos="2920"/>
        </w:tabs>
        <w:spacing w:after="120" w:line="240" w:lineRule="auto"/>
        <w:jc w:val="both"/>
        <w:rPr>
          <w:rFonts w:ascii="Georgia" w:hAnsi="Georgia"/>
          <w:bCs/>
          <w:sz w:val="24"/>
          <w:szCs w:val="24"/>
        </w:rPr>
      </w:pPr>
      <w:r>
        <w:rPr>
          <w:rFonts w:ascii="Georgia" w:hAnsi="Georgia"/>
          <w:bCs/>
          <w:sz w:val="24"/>
          <w:szCs w:val="24"/>
        </w:rPr>
        <w:t>П</w:t>
      </w:r>
      <w:r w:rsidRPr="008A6FFF">
        <w:rPr>
          <w:rFonts w:ascii="Georgia" w:hAnsi="Georgia"/>
          <w:bCs/>
          <w:sz w:val="24"/>
          <w:szCs w:val="24"/>
        </w:rPr>
        <w:t>АО «ИнтехБанк» активно развивает дистанционное банковское обслуживание, отличительной особенностью которого является простой интерфейс и низкие тарифы.</w:t>
      </w:r>
      <w:r>
        <w:rPr>
          <w:rFonts w:ascii="Georgia" w:hAnsi="Georgia"/>
          <w:bCs/>
          <w:sz w:val="24"/>
          <w:szCs w:val="24"/>
        </w:rPr>
        <w:t xml:space="preserve"> </w:t>
      </w:r>
      <w:r w:rsidRPr="008A6FFF">
        <w:rPr>
          <w:rFonts w:ascii="Georgia" w:hAnsi="Georgia"/>
          <w:bCs/>
          <w:sz w:val="24"/>
          <w:szCs w:val="24"/>
        </w:rPr>
        <w:t xml:space="preserve">Посредством Интернет-Банка клиент может осуществлять денежные переводы, проводить платежи, производить обмен валюты, управлять своими счетами. </w:t>
      </w:r>
    </w:p>
    <w:p w:rsidR="005203F5" w:rsidRDefault="005203F5" w:rsidP="005203F5">
      <w:pPr>
        <w:tabs>
          <w:tab w:val="left" w:pos="2920"/>
        </w:tabs>
        <w:spacing w:after="120" w:line="240" w:lineRule="auto"/>
        <w:jc w:val="both"/>
        <w:rPr>
          <w:rFonts w:ascii="Georgia" w:hAnsi="Georgia"/>
          <w:bCs/>
          <w:sz w:val="24"/>
          <w:szCs w:val="24"/>
        </w:rPr>
      </w:pPr>
      <w:r>
        <w:rPr>
          <w:rFonts w:ascii="Georgia" w:hAnsi="Georgia"/>
          <w:bCs/>
          <w:sz w:val="24"/>
          <w:szCs w:val="24"/>
        </w:rPr>
        <w:t xml:space="preserve">На 1 января 2016 года количество клиентов, подключенных к ДБО, составило </w:t>
      </w:r>
      <w:r w:rsidRPr="005203F5">
        <w:rPr>
          <w:rFonts w:ascii="Georgia" w:hAnsi="Georgia"/>
          <w:bCs/>
          <w:sz w:val="24"/>
          <w:szCs w:val="24"/>
        </w:rPr>
        <w:t>10</w:t>
      </w:r>
      <w:r>
        <w:rPr>
          <w:rFonts w:ascii="Georgia" w:hAnsi="Georgia"/>
          <w:bCs/>
          <w:sz w:val="24"/>
          <w:szCs w:val="24"/>
        </w:rPr>
        <w:t>,4 тыс. человек.</w:t>
      </w:r>
    </w:p>
    <w:p w:rsidR="005203F5" w:rsidRPr="00B04905" w:rsidRDefault="005203F5" w:rsidP="005203F5">
      <w:pPr>
        <w:spacing w:after="0" w:line="240" w:lineRule="auto"/>
        <w:contextualSpacing/>
        <w:jc w:val="both"/>
        <w:rPr>
          <w:rFonts w:ascii="Georgia" w:hAnsi="Georgia"/>
          <w:bCs/>
          <w:sz w:val="24"/>
          <w:szCs w:val="24"/>
        </w:rPr>
      </w:pPr>
      <w:r w:rsidRPr="00B04905">
        <w:rPr>
          <w:rFonts w:ascii="Georgia" w:hAnsi="Georgia"/>
          <w:bCs/>
          <w:sz w:val="24"/>
          <w:szCs w:val="24"/>
        </w:rPr>
        <w:t>В рамках систем срочных денежных переводов в 201</w:t>
      </w:r>
      <w:r>
        <w:rPr>
          <w:rFonts w:ascii="Georgia" w:hAnsi="Georgia"/>
          <w:bCs/>
          <w:sz w:val="24"/>
          <w:szCs w:val="24"/>
        </w:rPr>
        <w:t>5</w:t>
      </w:r>
      <w:r w:rsidRPr="00B04905">
        <w:rPr>
          <w:rFonts w:ascii="Georgia" w:hAnsi="Georgia"/>
          <w:bCs/>
          <w:sz w:val="24"/>
          <w:szCs w:val="24"/>
        </w:rPr>
        <w:t xml:space="preserve"> году был получен чистый комиссионный доход в размере 12,</w:t>
      </w:r>
      <w:r>
        <w:rPr>
          <w:rFonts w:ascii="Georgia" w:hAnsi="Georgia"/>
          <w:bCs/>
          <w:sz w:val="24"/>
          <w:szCs w:val="24"/>
        </w:rPr>
        <w:t xml:space="preserve">4 </w:t>
      </w:r>
      <w:r w:rsidRPr="00B04905">
        <w:rPr>
          <w:rFonts w:ascii="Georgia" w:hAnsi="Georgia"/>
          <w:bCs/>
          <w:sz w:val="24"/>
          <w:szCs w:val="24"/>
        </w:rPr>
        <w:t>млн. руб.</w:t>
      </w:r>
    </w:p>
    <w:p w:rsidR="005203F5" w:rsidRDefault="005203F5" w:rsidP="00DE4863">
      <w:pPr>
        <w:tabs>
          <w:tab w:val="left" w:pos="2920"/>
        </w:tabs>
        <w:spacing w:after="120" w:line="240" w:lineRule="auto"/>
        <w:jc w:val="both"/>
        <w:rPr>
          <w:rFonts w:ascii="Georgia" w:hAnsi="Georgia"/>
          <w:bCs/>
          <w:sz w:val="24"/>
          <w:szCs w:val="24"/>
        </w:rPr>
      </w:pPr>
    </w:p>
    <w:p w:rsidR="003A458E" w:rsidRDefault="003A458E" w:rsidP="00D912E7">
      <w:pPr>
        <w:tabs>
          <w:tab w:val="left" w:pos="2920"/>
        </w:tabs>
        <w:spacing w:after="120" w:line="240" w:lineRule="auto"/>
        <w:jc w:val="both"/>
        <w:rPr>
          <w:rFonts w:ascii="Georgia" w:hAnsi="Georgia"/>
          <w:bCs/>
          <w:sz w:val="24"/>
          <w:szCs w:val="24"/>
          <w:highlight w:val="yellow"/>
        </w:rPr>
      </w:pPr>
    </w:p>
    <w:p w:rsidR="00961F0F" w:rsidRPr="007D5972" w:rsidRDefault="00961F0F" w:rsidP="00D912E7">
      <w:pPr>
        <w:tabs>
          <w:tab w:val="left" w:pos="2920"/>
        </w:tabs>
        <w:spacing w:after="120" w:line="240" w:lineRule="auto"/>
        <w:jc w:val="both"/>
        <w:rPr>
          <w:rFonts w:ascii="Georgia" w:hAnsi="Georgia"/>
          <w:bCs/>
          <w:sz w:val="24"/>
          <w:szCs w:val="24"/>
          <w:highlight w:val="yellow"/>
        </w:rPr>
      </w:pPr>
    </w:p>
    <w:p w:rsidR="00F655D3" w:rsidRPr="007D5972" w:rsidRDefault="00F655D3" w:rsidP="00E27375">
      <w:pPr>
        <w:tabs>
          <w:tab w:val="left" w:pos="2920"/>
        </w:tabs>
        <w:spacing w:after="120" w:line="240" w:lineRule="auto"/>
        <w:jc w:val="center"/>
        <w:rPr>
          <w:rFonts w:ascii="Georgia" w:hAnsi="Georgia"/>
          <w:bCs/>
          <w:sz w:val="24"/>
          <w:szCs w:val="24"/>
          <w:highlight w:val="yellow"/>
        </w:rPr>
      </w:pPr>
    </w:p>
    <w:p w:rsidR="00A50DFA" w:rsidRPr="007D5972" w:rsidRDefault="00A50DFA" w:rsidP="003260D9">
      <w:pPr>
        <w:spacing w:after="0" w:line="240" w:lineRule="auto"/>
        <w:ind w:firstLine="709"/>
        <w:contextualSpacing/>
        <w:jc w:val="both"/>
        <w:rPr>
          <w:rFonts w:ascii="Cambria" w:hAnsi="Cambria"/>
        </w:rPr>
      </w:pPr>
    </w:p>
    <w:p w:rsidR="00D912E7" w:rsidRPr="007D5972" w:rsidRDefault="00D912E7">
      <w:pPr>
        <w:rPr>
          <w:rFonts w:ascii="Georgia" w:hAnsi="Georgia"/>
          <w:bCs/>
          <w:sz w:val="24"/>
          <w:szCs w:val="24"/>
        </w:rPr>
      </w:pPr>
      <w:r w:rsidRPr="007D5972">
        <w:rPr>
          <w:rFonts w:ascii="Georgia" w:hAnsi="Georgia"/>
          <w:bCs/>
          <w:sz w:val="24"/>
          <w:szCs w:val="24"/>
        </w:rPr>
        <w:br w:type="page"/>
      </w:r>
    </w:p>
    <w:p w:rsidR="00E72CA3" w:rsidRPr="00CC3E77" w:rsidRDefault="00E72CA3" w:rsidP="00E72CA3">
      <w:pPr>
        <w:spacing w:after="0" w:line="360" w:lineRule="auto"/>
        <w:jc w:val="both"/>
        <w:rPr>
          <w:rFonts w:cstheme="minorHAnsi"/>
          <w:b/>
          <w:noProof/>
          <w:sz w:val="28"/>
          <w:szCs w:val="28"/>
        </w:rPr>
      </w:pPr>
    </w:p>
    <w:p w:rsidR="00E72CA3" w:rsidRPr="00CC3E77" w:rsidRDefault="00E72CA3" w:rsidP="00E72CA3">
      <w:pPr>
        <w:pStyle w:val="1"/>
        <w:spacing w:before="0" w:line="360" w:lineRule="auto"/>
        <w:jc w:val="both"/>
        <w:rPr>
          <w:rFonts w:asciiTheme="minorHAnsi" w:hAnsiTheme="minorHAnsi" w:cstheme="minorHAnsi"/>
          <w:noProof/>
          <w:color w:val="00B050"/>
        </w:rPr>
      </w:pPr>
    </w:p>
    <w:p w:rsidR="00E72CA3" w:rsidRPr="00CC3E77" w:rsidRDefault="00E72CA3" w:rsidP="00E72CA3">
      <w:pPr>
        <w:pStyle w:val="1"/>
        <w:spacing w:before="0" w:line="360" w:lineRule="auto"/>
        <w:jc w:val="both"/>
        <w:rPr>
          <w:rFonts w:asciiTheme="minorHAnsi" w:hAnsiTheme="minorHAnsi" w:cstheme="minorHAnsi"/>
          <w:noProof/>
          <w:color w:val="00B050"/>
        </w:rPr>
      </w:pPr>
    </w:p>
    <w:p w:rsidR="00E72CA3" w:rsidRPr="00CC3E77" w:rsidRDefault="00E72CA3" w:rsidP="00E72CA3">
      <w:pPr>
        <w:spacing w:after="0" w:line="360" w:lineRule="auto"/>
        <w:jc w:val="both"/>
        <w:rPr>
          <w:rFonts w:cstheme="minorHAnsi"/>
          <w:noProof/>
          <w:sz w:val="28"/>
          <w:szCs w:val="28"/>
        </w:rPr>
      </w:pPr>
    </w:p>
    <w:p w:rsidR="00E72CA3" w:rsidRPr="00CC3E77" w:rsidRDefault="00E72CA3" w:rsidP="00E72CA3">
      <w:pPr>
        <w:spacing w:after="0" w:line="360" w:lineRule="auto"/>
        <w:jc w:val="both"/>
        <w:rPr>
          <w:rFonts w:cstheme="minorHAnsi"/>
          <w:noProof/>
          <w:sz w:val="28"/>
          <w:szCs w:val="28"/>
        </w:rPr>
      </w:pPr>
    </w:p>
    <w:p w:rsidR="00E72CA3" w:rsidRPr="00CC3E77" w:rsidRDefault="00E72CA3" w:rsidP="00E72CA3">
      <w:pPr>
        <w:spacing w:after="0" w:line="360" w:lineRule="auto"/>
        <w:jc w:val="both"/>
        <w:rPr>
          <w:rFonts w:eastAsiaTheme="majorEastAsia" w:cstheme="minorHAnsi"/>
          <w:noProof/>
          <w:sz w:val="28"/>
          <w:szCs w:val="28"/>
        </w:rPr>
      </w:pPr>
    </w:p>
    <w:p w:rsidR="00E72CA3" w:rsidRPr="00CC3E77" w:rsidRDefault="00E72CA3" w:rsidP="00E72CA3">
      <w:pPr>
        <w:spacing w:after="0" w:line="360" w:lineRule="auto"/>
        <w:jc w:val="both"/>
        <w:rPr>
          <w:rFonts w:cstheme="minorHAnsi"/>
          <w:noProof/>
          <w:sz w:val="28"/>
          <w:szCs w:val="28"/>
        </w:rPr>
      </w:pPr>
    </w:p>
    <w:p w:rsidR="00E72CA3" w:rsidRDefault="00E72CA3" w:rsidP="00E72CA3">
      <w:pPr>
        <w:spacing w:after="0" w:line="360" w:lineRule="auto"/>
        <w:jc w:val="both"/>
        <w:rPr>
          <w:rFonts w:cstheme="minorHAnsi"/>
          <w:noProof/>
          <w:sz w:val="28"/>
          <w:szCs w:val="28"/>
        </w:rPr>
      </w:pPr>
    </w:p>
    <w:p w:rsidR="00E72CA3" w:rsidRDefault="00E72CA3" w:rsidP="00E72CA3">
      <w:pPr>
        <w:spacing w:after="0" w:line="360" w:lineRule="auto"/>
        <w:jc w:val="both"/>
        <w:rPr>
          <w:rFonts w:cstheme="minorHAnsi"/>
          <w:noProof/>
          <w:sz w:val="28"/>
          <w:szCs w:val="28"/>
        </w:rPr>
      </w:pPr>
    </w:p>
    <w:p w:rsidR="00394EBB" w:rsidRPr="00CC3E77" w:rsidRDefault="00394EBB" w:rsidP="00E72CA3">
      <w:pPr>
        <w:spacing w:after="0" w:line="360" w:lineRule="auto"/>
        <w:jc w:val="both"/>
        <w:rPr>
          <w:rFonts w:cstheme="minorHAnsi"/>
          <w:noProof/>
          <w:sz w:val="28"/>
          <w:szCs w:val="28"/>
        </w:rPr>
      </w:pPr>
    </w:p>
    <w:p w:rsidR="00E83F64" w:rsidRDefault="00E83F64" w:rsidP="00E83F64">
      <w:pPr>
        <w:rPr>
          <w:noProof/>
        </w:rPr>
      </w:pPr>
      <w:r>
        <w:rPr>
          <w:noProof/>
        </w:rPr>
        <w:drawing>
          <wp:anchor distT="0" distB="0" distL="114300" distR="114300" simplePos="0" relativeHeight="251680768" behindDoc="1" locked="0" layoutInCell="1" allowOverlap="1" wp14:anchorId="5E25FED8" wp14:editId="72AE8D11">
            <wp:simplePos x="0" y="0"/>
            <wp:positionH relativeFrom="margin">
              <wp:align>left</wp:align>
            </wp:positionH>
            <wp:positionV relativeFrom="paragraph">
              <wp:posOffset>188595</wp:posOffset>
            </wp:positionV>
            <wp:extent cx="2633980" cy="1068705"/>
            <wp:effectExtent l="19050" t="0" r="0" b="0"/>
            <wp:wrapSquare wrapText="bothSides"/>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573" t="5579" r="1437" b="3665"/>
                    <a:stretch>
                      <a:fillRect/>
                    </a:stretch>
                  </pic:blipFill>
                  <pic:spPr bwMode="auto">
                    <a:xfrm>
                      <a:off x="0" y="0"/>
                      <a:ext cx="2633980" cy="1068705"/>
                    </a:xfrm>
                    <a:prstGeom prst="rect">
                      <a:avLst/>
                    </a:prstGeom>
                    <a:noFill/>
                    <a:ln w="9525">
                      <a:noFill/>
                      <a:miter lim="800000"/>
                      <a:headEnd/>
                      <a:tailEnd/>
                    </a:ln>
                  </pic:spPr>
                </pic:pic>
              </a:graphicData>
            </a:graphic>
          </wp:anchor>
        </w:drawing>
      </w:r>
    </w:p>
    <w:p w:rsidR="00E83F64" w:rsidRDefault="00E83F64" w:rsidP="00E83F64">
      <w:pPr>
        <w:rPr>
          <w:noProof/>
        </w:rPr>
      </w:pPr>
    </w:p>
    <w:p w:rsidR="00E83F64" w:rsidRDefault="00E83F64" w:rsidP="00E83F64">
      <w:pPr>
        <w:rPr>
          <w:noProof/>
        </w:rPr>
      </w:pPr>
    </w:p>
    <w:p w:rsidR="00E83F64" w:rsidRDefault="00E83F64" w:rsidP="00E83F64">
      <w:pPr>
        <w:rPr>
          <w:noProof/>
        </w:rPr>
      </w:pPr>
    </w:p>
    <w:p w:rsidR="00E83F64" w:rsidRDefault="00AA156D" w:rsidP="00E83F64">
      <w:pPr>
        <w:rPr>
          <w:noProof/>
        </w:rPr>
      </w:pPr>
      <w:r>
        <w:rPr>
          <w:noProof/>
        </w:rPr>
      </w:r>
      <w:r>
        <w:rPr>
          <w:noProof/>
        </w:rPr>
        <w:pict>
          <v:shape id="AutoShape 47" o:spid="_x0000_s1059" type="#_x0000_t32" style="width:425.8pt;height:.05pt;visibility:visible;mso-wrap-style:square;mso-left-percent:-10001;mso-top-percent:-10001;mso-position-horizontal:absolute;mso-position-horizontal-relative:char;mso-position-vertical:absolute;mso-position-vertical-relative:line;mso-left-percent:-10001;mso-top-percent:-10001" strokecolor="#00b050" strokeweight="4.5pt">
            <w10:wrap type="none"/>
            <w10:anchorlock/>
          </v:shape>
        </w:pict>
      </w:r>
    </w:p>
    <w:p w:rsidR="00E83F64" w:rsidRDefault="00E83F64" w:rsidP="00E83F64">
      <w:pPr>
        <w:rPr>
          <w:noProof/>
        </w:rPr>
      </w:pPr>
    </w:p>
    <w:p w:rsidR="00FC5133" w:rsidRDefault="00E83F64" w:rsidP="001535DD">
      <w:pPr>
        <w:pStyle w:val="1"/>
        <w:spacing w:before="0" w:line="240" w:lineRule="auto"/>
        <w:jc w:val="center"/>
        <w:rPr>
          <w:rFonts w:ascii="Georgia" w:hAnsi="Georgia"/>
          <w:b w:val="0"/>
          <w:noProof/>
          <w:sz w:val="52"/>
        </w:rPr>
      </w:pPr>
      <w:bookmarkStart w:id="39" w:name="_Toc448145470"/>
      <w:r w:rsidRPr="001535DD">
        <w:rPr>
          <w:rFonts w:ascii="Georgia" w:hAnsi="Georgia"/>
          <w:noProof/>
          <w:color w:val="auto"/>
          <w:sz w:val="52"/>
          <w:szCs w:val="52"/>
        </w:rPr>
        <w:t>КОРПОРАТИВНЫЙ БИЗНЕС</w:t>
      </w:r>
      <w:bookmarkEnd w:id="39"/>
    </w:p>
    <w:p w:rsidR="00FC5133" w:rsidRDefault="00FC5133">
      <w:pPr>
        <w:rPr>
          <w:rFonts w:ascii="Georgia" w:hAnsi="Georgia"/>
          <w:b/>
          <w:noProof/>
          <w:sz w:val="52"/>
        </w:rPr>
      </w:pPr>
      <w:r>
        <w:rPr>
          <w:rFonts w:ascii="Georgia" w:hAnsi="Georgia"/>
          <w:b/>
          <w:noProof/>
          <w:sz w:val="52"/>
        </w:rPr>
        <w:br w:type="page"/>
      </w:r>
    </w:p>
    <w:p w:rsidR="00FA0E01" w:rsidRPr="0022141B" w:rsidRDefault="00FA0E01" w:rsidP="0022141B">
      <w:pPr>
        <w:spacing w:after="0" w:line="240" w:lineRule="auto"/>
        <w:rPr>
          <w:rFonts w:ascii="Cambria" w:hAnsi="Cambria"/>
          <w:noProof/>
          <w:color w:val="00B050"/>
          <w:sz w:val="20"/>
          <w:szCs w:val="20"/>
        </w:rPr>
      </w:pPr>
    </w:p>
    <w:p w:rsidR="00FA0E01" w:rsidRPr="0022141B" w:rsidRDefault="00FA0E01" w:rsidP="0022141B">
      <w:pPr>
        <w:spacing w:after="0" w:line="240" w:lineRule="auto"/>
        <w:rPr>
          <w:rFonts w:ascii="Cambria" w:hAnsi="Cambria"/>
          <w:b/>
          <w:noProof/>
          <w:color w:val="00B050"/>
          <w:sz w:val="40"/>
          <w:szCs w:val="40"/>
        </w:rPr>
      </w:pPr>
      <w:r w:rsidRPr="0022141B">
        <w:rPr>
          <w:rFonts w:ascii="Cambria" w:hAnsi="Cambria"/>
          <w:b/>
          <w:noProof/>
          <w:color w:val="00B050"/>
          <w:sz w:val="40"/>
          <w:szCs w:val="40"/>
        </w:rPr>
        <w:t>Корпоративный бизнес</w:t>
      </w:r>
    </w:p>
    <w:p w:rsidR="00FA0E01" w:rsidRPr="0022141B" w:rsidRDefault="00FA0E01" w:rsidP="0022141B">
      <w:pPr>
        <w:spacing w:after="0" w:line="240" w:lineRule="auto"/>
        <w:rPr>
          <w:rFonts w:ascii="Cambria" w:hAnsi="Cambria"/>
          <w:noProof/>
          <w:color w:val="00B050"/>
          <w:sz w:val="20"/>
          <w:szCs w:val="20"/>
        </w:rPr>
      </w:pP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Крупнейшее бизнес-направление ПАО «ИнтехБанк» - </w:t>
      </w:r>
      <w:r w:rsidRPr="003D5038">
        <w:rPr>
          <w:rFonts w:ascii="Georgia" w:hAnsi="Georgia"/>
          <w:b/>
          <w:i/>
          <w:sz w:val="24"/>
          <w:szCs w:val="24"/>
        </w:rPr>
        <w:t>«Корпоративный бизнес»</w:t>
      </w:r>
      <w:r w:rsidRPr="003D5038">
        <w:rPr>
          <w:rFonts w:ascii="Georgia" w:hAnsi="Georgia"/>
          <w:sz w:val="24"/>
          <w:szCs w:val="24"/>
        </w:rPr>
        <w:t xml:space="preserve"> специализируется на расчетно-кассовом обслуживании, продаже кредитных и инвестиционных продуктов, продуктов привлечения денежных средств крупным корпоративным клиентам, клиентам малого и среднего бизнеса.</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В компетенцию подразделений «Корпоративного бизнеса» входит предоставление широкой линейки продуктов. Структура подразделений сформирована с учетом особенностей обслуживания различных категорий бизнеса. Такой подход позволяет выстроить предложение банковских продуктов с учетом потребностей конкретных клиентов. </w:t>
      </w:r>
    </w:p>
    <w:p w:rsidR="007D5972" w:rsidRPr="003D5038" w:rsidRDefault="00A846AB" w:rsidP="007D5972">
      <w:pPr>
        <w:spacing w:after="120" w:line="240" w:lineRule="auto"/>
        <w:jc w:val="both"/>
        <w:rPr>
          <w:rFonts w:ascii="Georgia" w:hAnsi="Georgia"/>
          <w:sz w:val="24"/>
          <w:szCs w:val="24"/>
        </w:rPr>
      </w:pPr>
      <w:r>
        <w:rPr>
          <w:rFonts w:ascii="Georgia" w:hAnsi="Georgia"/>
          <w:sz w:val="24"/>
          <w:szCs w:val="24"/>
        </w:rPr>
        <w:t>Наряду с</w:t>
      </w:r>
      <w:r w:rsidR="007D5972" w:rsidRPr="003D5038">
        <w:rPr>
          <w:rFonts w:ascii="Georgia" w:hAnsi="Georgia"/>
          <w:sz w:val="24"/>
          <w:szCs w:val="24"/>
        </w:rPr>
        <w:t xml:space="preserve"> проведение</w:t>
      </w:r>
      <w:r>
        <w:rPr>
          <w:rFonts w:ascii="Georgia" w:hAnsi="Georgia"/>
          <w:sz w:val="24"/>
          <w:szCs w:val="24"/>
        </w:rPr>
        <w:t>м</w:t>
      </w:r>
      <w:r w:rsidR="007D5972" w:rsidRPr="003D5038">
        <w:rPr>
          <w:rFonts w:ascii="Georgia" w:hAnsi="Georgia"/>
          <w:sz w:val="24"/>
          <w:szCs w:val="24"/>
        </w:rPr>
        <w:t xml:space="preserve"> в 2015 году активной работы по привлечению новых </w:t>
      </w:r>
      <w:r w:rsidR="007D5972" w:rsidRPr="003D5038">
        <w:rPr>
          <w:rStyle w:val="20140"/>
        </w:rPr>
        <w:t>корпоративных клиентов, Банком акцентировалось внимание и на сохранение уже имеющихся связей</w:t>
      </w:r>
      <w:r w:rsidR="007D5972" w:rsidRPr="003D5038">
        <w:rPr>
          <w:rFonts w:ascii="Georgia" w:hAnsi="Georgia"/>
          <w:sz w:val="24"/>
          <w:szCs w:val="24"/>
        </w:rPr>
        <w:t xml:space="preserve"> путем улучшения качества обслуживания и расширения комплекса предлагаемых услуг.</w:t>
      </w:r>
    </w:p>
    <w:p w:rsidR="007D5972" w:rsidRPr="003D5038" w:rsidRDefault="007D5972" w:rsidP="007D5972">
      <w:pPr>
        <w:pStyle w:val="2014"/>
      </w:pPr>
      <w:r w:rsidRPr="003D5038">
        <w:t xml:space="preserve">Стратегически важной для Банка категорией клиентов с точки зрения развития региональной экономики оставался сегмент </w:t>
      </w:r>
      <w:r w:rsidRPr="003D5038">
        <w:rPr>
          <w:b/>
          <w:i/>
        </w:rPr>
        <w:t>клиентов малого и среднего бизнеса</w:t>
      </w:r>
      <w:r w:rsidRPr="003D5038">
        <w:t>. Модель обслуживания этого сегмента предполагает формирование стандартной линейки банковских продуктов и услуг для обеспечения комплексного предложения.</w:t>
      </w:r>
    </w:p>
    <w:p w:rsidR="007D5972" w:rsidRPr="003D5038" w:rsidRDefault="007D5972" w:rsidP="007D5972">
      <w:pPr>
        <w:pStyle w:val="2014"/>
        <w:rPr>
          <w:b/>
          <w:i/>
          <w:color w:val="365F91" w:themeColor="accent1" w:themeShade="BF"/>
          <w:sz w:val="28"/>
        </w:rPr>
      </w:pPr>
      <w:r w:rsidRPr="003D5038">
        <w:rPr>
          <w:b/>
          <w:i/>
          <w:color w:val="365F91" w:themeColor="accent1" w:themeShade="BF"/>
          <w:sz w:val="28"/>
        </w:rPr>
        <w:t>Кредиты</w:t>
      </w:r>
    </w:p>
    <w:p w:rsidR="007D5972" w:rsidRPr="003D5038" w:rsidRDefault="007D5972" w:rsidP="007D5972">
      <w:pPr>
        <w:pStyle w:val="2014"/>
      </w:pPr>
      <w:r w:rsidRPr="003D5038">
        <w:rPr>
          <w:b/>
          <w:i/>
        </w:rPr>
        <w:t>Объем корпоративного кредитного</w:t>
      </w:r>
      <w:r w:rsidRPr="003D5038">
        <w:t xml:space="preserve"> портфеля ПАО «ИнтехБанк» к концу 2015 года достиг 18,8 млрд. рублей, что на 7,8% выше аналогичного показателя 2014 года. На рынке кредитования юридических лиц в Республике Татарстан Банк занимает 4-е место, с долей рынка по итогам года 4,81%.</w:t>
      </w:r>
    </w:p>
    <w:p w:rsidR="007D5972" w:rsidRPr="003D5038" w:rsidRDefault="007D5972" w:rsidP="007D5972">
      <w:pPr>
        <w:pStyle w:val="2014"/>
        <w:jc w:val="center"/>
      </w:pPr>
      <w:r w:rsidRPr="003D5038">
        <w:rPr>
          <w:noProof/>
        </w:rPr>
        <w:drawing>
          <wp:inline distT="0" distB="0" distL="0" distR="0" wp14:anchorId="2D66B4E5" wp14:editId="58368870">
            <wp:extent cx="4905375" cy="1695450"/>
            <wp:effectExtent l="0" t="0" r="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D5972" w:rsidRPr="003D5038" w:rsidRDefault="007D5972" w:rsidP="007D5972">
      <w:pPr>
        <w:spacing w:after="120" w:line="240" w:lineRule="auto"/>
        <w:jc w:val="center"/>
        <w:rPr>
          <w:rFonts w:ascii="Georgia" w:hAnsi="Georgia"/>
          <w:b/>
          <w:bCs/>
          <w:noProof/>
          <w:sz w:val="24"/>
          <w:szCs w:val="24"/>
        </w:rPr>
      </w:pPr>
      <w:r w:rsidRPr="003D5038">
        <w:rPr>
          <w:rFonts w:ascii="Georgia" w:hAnsi="Georgia"/>
          <w:b/>
          <w:bCs/>
          <w:noProof/>
          <w:sz w:val="24"/>
          <w:szCs w:val="24"/>
        </w:rPr>
        <w:t xml:space="preserve">Рыночная доля ПАО «ИнтехБанк» в сегменте корпоративного кредитования РТ </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Кредитование клиентов </w:t>
      </w:r>
      <w:r w:rsidRPr="003D5038">
        <w:rPr>
          <w:rFonts w:ascii="Georgia" w:hAnsi="Georgia"/>
          <w:b/>
          <w:i/>
          <w:sz w:val="24"/>
          <w:szCs w:val="24"/>
        </w:rPr>
        <w:t>крупного корпоративного бизнеса</w:t>
      </w:r>
      <w:r w:rsidRPr="003D5038">
        <w:rPr>
          <w:rFonts w:ascii="Georgia" w:hAnsi="Georgia"/>
          <w:sz w:val="24"/>
          <w:szCs w:val="24"/>
        </w:rPr>
        <w:t xml:space="preserve"> стало одним из приоритетных направлений работы Банка в 2015 году. Так объем кредитных средств в структуре кредитного портфеля на конец 2015 года составил  порядка 37,2% или 7 млрд. рублей.</w:t>
      </w:r>
    </w:p>
    <w:p w:rsidR="007D5972" w:rsidRPr="003D5038" w:rsidRDefault="007D5972" w:rsidP="007D5972">
      <w:pPr>
        <w:autoSpaceDE w:val="0"/>
        <w:autoSpaceDN w:val="0"/>
        <w:adjustRightInd w:val="0"/>
        <w:spacing w:after="120" w:line="240" w:lineRule="auto"/>
        <w:jc w:val="both"/>
        <w:rPr>
          <w:rFonts w:ascii="Georgia" w:hAnsi="Georgia"/>
          <w:sz w:val="24"/>
          <w:szCs w:val="24"/>
        </w:rPr>
      </w:pPr>
      <w:r w:rsidRPr="003D5038">
        <w:rPr>
          <w:rFonts w:ascii="Georgia" w:hAnsi="Georgia"/>
          <w:sz w:val="24"/>
          <w:szCs w:val="24"/>
        </w:rPr>
        <w:t xml:space="preserve">Большая часть предоставленных Банком кредитов является кредитами на цели </w:t>
      </w:r>
      <w:r w:rsidRPr="003D5038">
        <w:rPr>
          <w:rFonts w:ascii="Georgia" w:hAnsi="Georgia"/>
          <w:b/>
          <w:i/>
          <w:sz w:val="24"/>
          <w:szCs w:val="24"/>
        </w:rPr>
        <w:t>модернизации производства и вложения в основные средства</w:t>
      </w:r>
      <w:r w:rsidRPr="003D5038">
        <w:rPr>
          <w:rFonts w:ascii="Georgia" w:hAnsi="Georgia"/>
          <w:sz w:val="24"/>
          <w:szCs w:val="24"/>
        </w:rPr>
        <w:t>.</w:t>
      </w:r>
      <w:r>
        <w:rPr>
          <w:rFonts w:ascii="Georgia" w:hAnsi="Georgia"/>
          <w:sz w:val="24"/>
          <w:szCs w:val="24"/>
        </w:rPr>
        <w:t xml:space="preserve"> </w:t>
      </w:r>
      <w:r w:rsidRPr="00233ED4">
        <w:rPr>
          <w:rFonts w:ascii="Georgia" w:hAnsi="Georgia"/>
          <w:sz w:val="24"/>
          <w:szCs w:val="24"/>
        </w:rPr>
        <w:t>Общий объем банковских гарантий, предоставленных клиентам юридическим лицам</w:t>
      </w:r>
      <w:r>
        <w:rPr>
          <w:rFonts w:ascii="Georgia" w:hAnsi="Georgia"/>
          <w:sz w:val="24"/>
          <w:szCs w:val="24"/>
        </w:rPr>
        <w:t xml:space="preserve"> в 2015 году</w:t>
      </w:r>
      <w:r w:rsidRPr="00233ED4">
        <w:rPr>
          <w:rFonts w:ascii="Georgia" w:hAnsi="Georgia"/>
          <w:sz w:val="24"/>
          <w:szCs w:val="24"/>
        </w:rPr>
        <w:t xml:space="preserve">, составляет </w:t>
      </w:r>
      <w:r>
        <w:rPr>
          <w:rFonts w:ascii="Georgia" w:hAnsi="Georgia"/>
          <w:sz w:val="24"/>
          <w:szCs w:val="24"/>
        </w:rPr>
        <w:t>3</w:t>
      </w:r>
      <w:r w:rsidRPr="00233ED4">
        <w:rPr>
          <w:rFonts w:ascii="Georgia" w:hAnsi="Georgia"/>
          <w:sz w:val="24"/>
          <w:szCs w:val="24"/>
        </w:rPr>
        <w:t xml:space="preserve"> млрд. рублей</w:t>
      </w:r>
      <w:r>
        <w:rPr>
          <w:rFonts w:ascii="Georgia" w:hAnsi="Georgia"/>
          <w:sz w:val="24"/>
          <w:szCs w:val="24"/>
        </w:rPr>
        <w:t>, за 2014 года было выдано 1,5 млрд. руб.</w:t>
      </w:r>
    </w:p>
    <w:p w:rsidR="007D5972" w:rsidRPr="00961F0F" w:rsidRDefault="007D5972" w:rsidP="007D5972">
      <w:pPr>
        <w:spacing w:after="120" w:line="240" w:lineRule="auto"/>
        <w:jc w:val="both"/>
        <w:rPr>
          <w:rFonts w:ascii="Georgia" w:hAnsi="Georgia"/>
          <w:sz w:val="20"/>
          <w:szCs w:val="20"/>
        </w:rPr>
      </w:pP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Существенным направлением деятельности Банка является </w:t>
      </w:r>
      <w:r w:rsidRPr="007C76AA">
        <w:rPr>
          <w:rFonts w:ascii="Georgia" w:hAnsi="Georgia"/>
          <w:b/>
          <w:i/>
          <w:sz w:val="24"/>
          <w:szCs w:val="24"/>
        </w:rPr>
        <w:t xml:space="preserve">кредитование </w:t>
      </w:r>
      <w:r w:rsidR="008708E5">
        <w:rPr>
          <w:rFonts w:ascii="Georgia" w:hAnsi="Georgia"/>
          <w:b/>
          <w:i/>
          <w:sz w:val="24"/>
          <w:szCs w:val="24"/>
        </w:rPr>
        <w:t xml:space="preserve">бизнеса по программам </w:t>
      </w:r>
      <w:r w:rsidRPr="007C76AA">
        <w:rPr>
          <w:rFonts w:ascii="Georgia" w:hAnsi="Georgia"/>
          <w:b/>
          <w:i/>
          <w:sz w:val="24"/>
          <w:szCs w:val="24"/>
        </w:rPr>
        <w:t>малого и среднего бизнеса</w:t>
      </w:r>
      <w:r w:rsidRPr="003D5038">
        <w:rPr>
          <w:rFonts w:ascii="Georgia" w:hAnsi="Georgia"/>
          <w:sz w:val="24"/>
          <w:szCs w:val="24"/>
        </w:rPr>
        <w:t>. Так</w:t>
      </w:r>
      <w:r w:rsidR="00A846AB">
        <w:rPr>
          <w:rFonts w:ascii="Georgia" w:hAnsi="Georgia"/>
          <w:sz w:val="24"/>
          <w:szCs w:val="24"/>
        </w:rPr>
        <w:t>,</w:t>
      </w:r>
      <w:r w:rsidRPr="003D5038">
        <w:rPr>
          <w:rFonts w:ascii="Georgia" w:hAnsi="Georgia"/>
          <w:sz w:val="24"/>
          <w:szCs w:val="24"/>
        </w:rPr>
        <w:t xml:space="preserve"> на конец 2015 года кредиты, выданные </w:t>
      </w:r>
      <w:r w:rsidR="00A846AB">
        <w:rPr>
          <w:rFonts w:ascii="Georgia" w:hAnsi="Georgia"/>
          <w:sz w:val="24"/>
          <w:szCs w:val="24"/>
        </w:rPr>
        <w:t xml:space="preserve">по продуктам кредитования </w:t>
      </w:r>
      <w:r w:rsidRPr="003D5038">
        <w:rPr>
          <w:rFonts w:ascii="Georgia" w:hAnsi="Georgia"/>
          <w:sz w:val="24"/>
          <w:szCs w:val="24"/>
        </w:rPr>
        <w:t>субъект</w:t>
      </w:r>
      <w:r w:rsidR="00A846AB">
        <w:rPr>
          <w:rFonts w:ascii="Georgia" w:hAnsi="Georgia"/>
          <w:sz w:val="24"/>
          <w:szCs w:val="24"/>
        </w:rPr>
        <w:t>ов</w:t>
      </w:r>
      <w:r w:rsidRPr="003D5038">
        <w:rPr>
          <w:rFonts w:ascii="Georgia" w:hAnsi="Georgia"/>
          <w:sz w:val="24"/>
          <w:szCs w:val="24"/>
        </w:rPr>
        <w:t xml:space="preserve"> малого и среднего предпринимательства, составили 4 млрд. рублей, доля в структуре кредитного портфеля - 21,2%. Активную поддержку Банку в развитии данного направления оказывает АО «МСП Банк».</w:t>
      </w:r>
    </w:p>
    <w:p w:rsidR="007D5972" w:rsidRPr="003D5038" w:rsidRDefault="007D5972" w:rsidP="007D5972">
      <w:pPr>
        <w:autoSpaceDE w:val="0"/>
        <w:autoSpaceDN w:val="0"/>
        <w:adjustRightInd w:val="0"/>
        <w:spacing w:before="120" w:after="120" w:line="240" w:lineRule="auto"/>
        <w:contextualSpacing/>
        <w:jc w:val="center"/>
        <w:rPr>
          <w:rFonts w:ascii="Georgia" w:hAnsi="Georgia"/>
          <w:b/>
          <w:noProof/>
          <w:sz w:val="52"/>
        </w:rPr>
      </w:pPr>
      <w:r w:rsidRPr="003D5038">
        <w:rPr>
          <w:noProof/>
        </w:rPr>
        <w:drawing>
          <wp:inline distT="0" distB="0" distL="0" distR="0" wp14:anchorId="3F1D02F6" wp14:editId="57075BC7">
            <wp:extent cx="4886325" cy="2428875"/>
            <wp:effectExtent l="0" t="0" r="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D5972" w:rsidRPr="003D5038" w:rsidRDefault="007D5972" w:rsidP="007D5972">
      <w:pPr>
        <w:spacing w:after="120" w:line="240" w:lineRule="auto"/>
        <w:jc w:val="center"/>
        <w:rPr>
          <w:rFonts w:ascii="Georgia" w:hAnsi="Georgia"/>
          <w:b/>
          <w:bCs/>
          <w:noProof/>
          <w:sz w:val="24"/>
          <w:szCs w:val="24"/>
        </w:rPr>
      </w:pPr>
      <w:r w:rsidRPr="003D5038">
        <w:rPr>
          <w:rFonts w:ascii="Georgia" w:hAnsi="Georgia"/>
          <w:b/>
          <w:bCs/>
          <w:noProof/>
          <w:sz w:val="24"/>
          <w:szCs w:val="24"/>
        </w:rPr>
        <w:t>Динамика корпоративного кредитного портфеля, млн. руб.</w:t>
      </w:r>
    </w:p>
    <w:p w:rsidR="007D5972"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В 2015 году Банк продолжил активное финансирование инвестиционных проектов, в результате чего объем </w:t>
      </w:r>
      <w:r w:rsidRPr="003D5038">
        <w:rPr>
          <w:rFonts w:ascii="Georgia" w:hAnsi="Georgia"/>
          <w:b/>
          <w:i/>
          <w:sz w:val="24"/>
          <w:szCs w:val="24"/>
        </w:rPr>
        <w:t>инвестиционных кредитов</w:t>
      </w:r>
      <w:r w:rsidRPr="003D5038">
        <w:rPr>
          <w:rFonts w:ascii="Georgia" w:hAnsi="Georgia"/>
          <w:sz w:val="24"/>
          <w:szCs w:val="24"/>
        </w:rPr>
        <w:t xml:space="preserve"> за год возрос на 27,2% до 7,8 млрд. рублей. </w:t>
      </w:r>
    </w:p>
    <w:p w:rsidR="0006790C" w:rsidRPr="003D5038" w:rsidRDefault="0006790C" w:rsidP="0006790C">
      <w:pPr>
        <w:spacing w:after="120" w:line="240" w:lineRule="auto"/>
        <w:jc w:val="both"/>
        <w:rPr>
          <w:rFonts w:ascii="Georgia" w:hAnsi="Georgia"/>
          <w:sz w:val="24"/>
          <w:szCs w:val="24"/>
        </w:rPr>
      </w:pPr>
      <w:r>
        <w:rPr>
          <w:rFonts w:ascii="Georgia" w:hAnsi="Georgia"/>
          <w:sz w:val="24"/>
          <w:szCs w:val="24"/>
        </w:rPr>
        <w:t xml:space="preserve">В </w:t>
      </w:r>
      <w:r w:rsidRPr="0006790C">
        <w:rPr>
          <w:rFonts w:ascii="Georgia" w:hAnsi="Georgia"/>
          <w:sz w:val="24"/>
          <w:szCs w:val="24"/>
        </w:rPr>
        <w:t xml:space="preserve">2015 году </w:t>
      </w:r>
      <w:r>
        <w:rPr>
          <w:rFonts w:ascii="Georgia" w:hAnsi="Georgia"/>
          <w:sz w:val="24"/>
          <w:szCs w:val="24"/>
        </w:rPr>
        <w:t>и</w:t>
      </w:r>
      <w:r w:rsidRPr="0006790C">
        <w:rPr>
          <w:rFonts w:ascii="Georgia" w:hAnsi="Georgia"/>
          <w:sz w:val="24"/>
          <w:szCs w:val="24"/>
        </w:rPr>
        <w:t>з финансируемых Банком объектов введены в эксплуатацию: ЖК «Акчарлак» площадью 6 051 кв.м., ЖК «Гринхил» площадью 9 292 кв.м., жилой дом  №16А-10 ЖК «Экопарк «</w:t>
      </w:r>
      <w:r>
        <w:rPr>
          <w:rFonts w:ascii="Georgia" w:hAnsi="Georgia"/>
          <w:sz w:val="24"/>
          <w:szCs w:val="24"/>
        </w:rPr>
        <w:t xml:space="preserve">Дубрава» площадью 10 936 кв.м. </w:t>
      </w:r>
      <w:r w:rsidRPr="0006790C">
        <w:rPr>
          <w:rFonts w:ascii="Georgia" w:hAnsi="Georgia"/>
          <w:sz w:val="24"/>
          <w:szCs w:val="24"/>
        </w:rPr>
        <w:t>Еще четыре объекта имеют высокую степень готовности и планируются к сдаче в 2016 году (первая очередь ЖК «Видный», ЖК «Казанское подворье»</w:t>
      </w:r>
      <w:r>
        <w:rPr>
          <w:rFonts w:ascii="Georgia" w:hAnsi="Georgia"/>
          <w:sz w:val="24"/>
          <w:szCs w:val="24"/>
        </w:rPr>
        <w:t>,</w:t>
      </w:r>
      <w:r w:rsidRPr="0006790C">
        <w:rPr>
          <w:rFonts w:ascii="Georgia" w:hAnsi="Georgia"/>
          <w:sz w:val="24"/>
          <w:szCs w:val="24"/>
        </w:rPr>
        <w:t xml:space="preserve"> админист</w:t>
      </w:r>
      <w:r>
        <w:rPr>
          <w:rFonts w:ascii="Georgia" w:hAnsi="Georgia"/>
          <w:sz w:val="24"/>
          <w:szCs w:val="24"/>
        </w:rPr>
        <w:t>ративное здание по ул. Кул-Гали</w:t>
      </w:r>
      <w:r w:rsidRPr="0006790C">
        <w:rPr>
          <w:rFonts w:ascii="Georgia" w:hAnsi="Georgia"/>
          <w:sz w:val="24"/>
          <w:szCs w:val="24"/>
        </w:rPr>
        <w:t xml:space="preserve">, жилой дом </w:t>
      </w:r>
      <w:r>
        <w:rPr>
          <w:rFonts w:ascii="Georgia" w:hAnsi="Georgia"/>
          <w:sz w:val="24"/>
          <w:szCs w:val="24"/>
        </w:rPr>
        <w:t>в ЖК «Дубрава»).</w:t>
      </w:r>
    </w:p>
    <w:p w:rsidR="007D5972" w:rsidRPr="003D5038" w:rsidRDefault="007D5972" w:rsidP="005E127E">
      <w:pPr>
        <w:spacing w:after="120" w:line="240" w:lineRule="auto"/>
        <w:jc w:val="both"/>
        <w:rPr>
          <w:rFonts w:ascii="Georgia" w:hAnsi="Georgia"/>
          <w:sz w:val="24"/>
          <w:szCs w:val="24"/>
        </w:rPr>
      </w:pPr>
      <w:r w:rsidRPr="003D5038">
        <w:rPr>
          <w:rFonts w:ascii="Georgia" w:hAnsi="Georgia"/>
          <w:b/>
          <w:i/>
          <w:sz w:val="24"/>
          <w:szCs w:val="24"/>
        </w:rPr>
        <w:t>Отраслевая структура</w:t>
      </w:r>
      <w:r w:rsidRPr="003D5038">
        <w:rPr>
          <w:rFonts w:ascii="Georgia" w:hAnsi="Georgia"/>
          <w:sz w:val="24"/>
          <w:szCs w:val="24"/>
        </w:rPr>
        <w:t xml:space="preserve"> кредитных вложений Банка в отчетном периоде отражает высокую долю финансирования предприятий финансовой сферы – 24,5%, предприятий, осуществляющих операции с недвижимым имуществом, аренды и предоставления услуг, – 19,3%. Высока доля кредитов, выданных на финансирование предприятий оптовой и розничной торговли, а также строительства – 18,3% и 14,7% соответственно. В наименьшей степени представлены компании сельского и лесного хозяйства, электроэнергетики.</w:t>
      </w:r>
    </w:p>
    <w:p w:rsidR="007D5972" w:rsidRDefault="007D5972"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Default="00961F0F" w:rsidP="007D5972">
      <w:pPr>
        <w:spacing w:after="120" w:line="240" w:lineRule="auto"/>
        <w:ind w:firstLine="709"/>
        <w:jc w:val="both"/>
        <w:rPr>
          <w:rFonts w:ascii="Georgia" w:hAnsi="Georgia"/>
          <w:sz w:val="24"/>
          <w:szCs w:val="24"/>
        </w:rPr>
      </w:pPr>
    </w:p>
    <w:p w:rsidR="00961F0F" w:rsidRPr="00961F0F" w:rsidRDefault="00961F0F" w:rsidP="007D5972">
      <w:pPr>
        <w:spacing w:after="120" w:line="240" w:lineRule="auto"/>
        <w:ind w:firstLine="709"/>
        <w:jc w:val="both"/>
        <w:rPr>
          <w:rFonts w:ascii="Georgia" w:hAnsi="Georgia"/>
          <w:sz w:val="20"/>
          <w:szCs w:val="20"/>
        </w:rPr>
      </w:pPr>
    </w:p>
    <w:p w:rsidR="007D5972" w:rsidRPr="003D5038" w:rsidRDefault="00D76E66" w:rsidP="007D5972">
      <w:pPr>
        <w:spacing w:after="120" w:line="240" w:lineRule="auto"/>
        <w:ind w:firstLine="709"/>
        <w:jc w:val="both"/>
        <w:rPr>
          <w:rFonts w:ascii="Georgia" w:hAnsi="Georgia"/>
          <w:sz w:val="24"/>
          <w:szCs w:val="24"/>
        </w:rPr>
      </w:pPr>
      <w:r w:rsidRPr="00D76E66">
        <w:rPr>
          <w:noProof/>
        </w:rPr>
        <w:drawing>
          <wp:inline distT="0" distB="0" distL="0" distR="0" wp14:anchorId="5058B4EA" wp14:editId="762143C1">
            <wp:extent cx="4837814" cy="3349256"/>
            <wp:effectExtent l="0" t="0" r="0" b="0"/>
            <wp:docPr id="43" name="Диаграмма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D5972" w:rsidRPr="003D5038" w:rsidRDefault="007D5972" w:rsidP="007D5972">
      <w:pPr>
        <w:pStyle w:val="2014"/>
        <w:jc w:val="center"/>
        <w:rPr>
          <w:b/>
          <w:noProof/>
        </w:rPr>
      </w:pPr>
      <w:r w:rsidRPr="003D5038">
        <w:rPr>
          <w:b/>
          <w:noProof/>
        </w:rPr>
        <w:t>Отраслевая структура кредитного портфеля юридических лиц на 01.01.2015 г.</w:t>
      </w:r>
    </w:p>
    <w:p w:rsidR="007D5972" w:rsidRPr="003D5038" w:rsidRDefault="007D5972" w:rsidP="007D5972">
      <w:pPr>
        <w:pStyle w:val="1"/>
        <w:spacing w:before="0" w:line="240" w:lineRule="auto"/>
        <w:jc w:val="both"/>
        <w:rPr>
          <w:rFonts w:ascii="Georgia" w:eastAsiaTheme="minorHAnsi" w:hAnsi="Georgia" w:cstheme="minorBidi"/>
          <w:b w:val="0"/>
          <w:bCs w:val="0"/>
          <w:color w:val="auto"/>
          <w:sz w:val="24"/>
          <w:szCs w:val="24"/>
        </w:rPr>
      </w:pPr>
    </w:p>
    <w:p w:rsidR="007D5972" w:rsidRDefault="007D5972" w:rsidP="007D5972">
      <w:pPr>
        <w:pStyle w:val="2014"/>
        <w:rPr>
          <w:b/>
          <w:i/>
          <w:color w:val="365F91" w:themeColor="accent1" w:themeShade="BF"/>
          <w:sz w:val="28"/>
        </w:rPr>
      </w:pPr>
      <w:r>
        <w:rPr>
          <w:b/>
          <w:i/>
          <w:color w:val="365F91" w:themeColor="accent1" w:themeShade="BF"/>
          <w:sz w:val="28"/>
        </w:rPr>
        <w:t>Депозиты</w:t>
      </w:r>
    </w:p>
    <w:p w:rsidR="007D5972" w:rsidRPr="00204A4B" w:rsidRDefault="007D5972" w:rsidP="005E127E">
      <w:pPr>
        <w:pStyle w:val="2014"/>
      </w:pPr>
      <w:r w:rsidRPr="00643141">
        <w:t>В течение 201</w:t>
      </w:r>
      <w:r w:rsidR="00285270">
        <w:t>5</w:t>
      </w:r>
      <w:r>
        <w:t xml:space="preserve"> года </w:t>
      </w:r>
      <w:r w:rsidRPr="00643141">
        <w:t>наблюдался стабильный рост объемов привлечения средств юридических лиц в депозиты.</w:t>
      </w:r>
      <w:r w:rsidRPr="005E127E">
        <w:t xml:space="preserve"> </w:t>
      </w:r>
      <w:r w:rsidRPr="00204A4B">
        <w:t xml:space="preserve">По итогам </w:t>
      </w:r>
      <w:r>
        <w:t xml:space="preserve">года ПАО «ИнтехБанк» занимает 5-е место на рынке привлеченных </w:t>
      </w:r>
      <w:r w:rsidR="00285270">
        <w:t>депозитов юридических ли</w:t>
      </w:r>
      <w:r>
        <w:t>ц в Республике Татарстан с долей рынка 3,07%.</w:t>
      </w:r>
    </w:p>
    <w:p w:rsidR="007D5972" w:rsidRDefault="007D5972" w:rsidP="007D5972">
      <w:pPr>
        <w:pStyle w:val="2014"/>
        <w:jc w:val="center"/>
        <w:rPr>
          <w:b/>
          <w:i/>
          <w:color w:val="365F91" w:themeColor="accent1" w:themeShade="BF"/>
          <w:sz w:val="28"/>
        </w:rPr>
      </w:pPr>
      <w:r>
        <w:rPr>
          <w:noProof/>
        </w:rPr>
        <w:drawing>
          <wp:inline distT="0" distB="0" distL="0" distR="0" wp14:anchorId="75313FA4" wp14:editId="7D63726E">
            <wp:extent cx="5401339" cy="1148317"/>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D5972" w:rsidRPr="00E85B82" w:rsidRDefault="007D5972" w:rsidP="007D5972">
      <w:pPr>
        <w:pStyle w:val="2014"/>
        <w:jc w:val="center"/>
        <w:rPr>
          <w:b/>
          <w:bCs/>
          <w:noProof/>
        </w:rPr>
      </w:pPr>
      <w:r w:rsidRPr="00E85B82">
        <w:rPr>
          <w:b/>
          <w:bCs/>
          <w:noProof/>
        </w:rPr>
        <w:t xml:space="preserve">Рыночная доля </w:t>
      </w:r>
      <w:r>
        <w:rPr>
          <w:b/>
          <w:bCs/>
          <w:noProof/>
        </w:rPr>
        <w:t>П</w:t>
      </w:r>
      <w:r w:rsidRPr="00E85B82">
        <w:rPr>
          <w:b/>
          <w:bCs/>
          <w:noProof/>
        </w:rPr>
        <w:t xml:space="preserve">АО </w:t>
      </w:r>
      <w:r>
        <w:rPr>
          <w:b/>
          <w:bCs/>
          <w:noProof/>
        </w:rPr>
        <w:t>«</w:t>
      </w:r>
      <w:r w:rsidRPr="00E85B82">
        <w:rPr>
          <w:b/>
          <w:bCs/>
          <w:noProof/>
        </w:rPr>
        <w:t>ИнтехБанк</w:t>
      </w:r>
      <w:r>
        <w:rPr>
          <w:b/>
          <w:bCs/>
          <w:noProof/>
        </w:rPr>
        <w:t>»</w:t>
      </w:r>
      <w:r w:rsidRPr="00E85B82">
        <w:rPr>
          <w:b/>
          <w:bCs/>
          <w:noProof/>
        </w:rPr>
        <w:t xml:space="preserve"> в сегменте корпоративного привлечения РТ</w:t>
      </w:r>
    </w:p>
    <w:p w:rsidR="007D5972" w:rsidRDefault="007D5972" w:rsidP="005E127E">
      <w:pPr>
        <w:widowControl w:val="0"/>
        <w:spacing w:after="600" w:line="240" w:lineRule="auto"/>
        <w:contextualSpacing/>
        <w:jc w:val="both"/>
        <w:rPr>
          <w:rFonts w:ascii="Georgia" w:hAnsi="Georgia"/>
          <w:sz w:val="24"/>
          <w:szCs w:val="24"/>
        </w:rPr>
      </w:pPr>
      <w:r w:rsidRPr="006B2005">
        <w:rPr>
          <w:rFonts w:ascii="Georgia" w:hAnsi="Georgia"/>
          <w:sz w:val="24"/>
          <w:szCs w:val="24"/>
        </w:rPr>
        <w:t>В структуре обязательств корпоративного блока основную долю на конец года занимают срочные депозиты, удельный вес 5</w:t>
      </w:r>
      <w:r>
        <w:rPr>
          <w:rFonts w:ascii="Georgia" w:hAnsi="Georgia"/>
          <w:sz w:val="24"/>
          <w:szCs w:val="24"/>
        </w:rPr>
        <w:t>6</w:t>
      </w:r>
      <w:r w:rsidRPr="006B2005">
        <w:rPr>
          <w:rFonts w:ascii="Georgia" w:hAnsi="Georgia"/>
          <w:sz w:val="24"/>
          <w:szCs w:val="24"/>
        </w:rPr>
        <w:t xml:space="preserve">,8%, рост за год </w:t>
      </w:r>
      <w:r>
        <w:rPr>
          <w:rFonts w:ascii="Georgia" w:hAnsi="Georgia"/>
          <w:sz w:val="24"/>
          <w:szCs w:val="24"/>
        </w:rPr>
        <w:t>2,5</w:t>
      </w:r>
      <w:r w:rsidRPr="006B2005">
        <w:rPr>
          <w:rFonts w:ascii="Georgia" w:hAnsi="Georgia"/>
          <w:sz w:val="24"/>
          <w:szCs w:val="24"/>
        </w:rPr>
        <w:t>% до 5,</w:t>
      </w:r>
      <w:r>
        <w:rPr>
          <w:rFonts w:ascii="Georgia" w:hAnsi="Georgia"/>
          <w:sz w:val="24"/>
          <w:szCs w:val="24"/>
        </w:rPr>
        <w:t>5</w:t>
      </w:r>
      <w:r w:rsidRPr="006B2005">
        <w:rPr>
          <w:rFonts w:ascii="Georgia" w:hAnsi="Georgia"/>
          <w:sz w:val="24"/>
          <w:szCs w:val="24"/>
        </w:rPr>
        <w:t xml:space="preserve"> млрд. рублей. Средствам на текущих и расчетных счетах в структуре привлечения принадлежит </w:t>
      </w:r>
      <w:r>
        <w:rPr>
          <w:rFonts w:ascii="Georgia" w:hAnsi="Georgia"/>
          <w:sz w:val="24"/>
          <w:szCs w:val="24"/>
        </w:rPr>
        <w:t>16,5</w:t>
      </w:r>
      <w:r w:rsidRPr="006B2005">
        <w:rPr>
          <w:rFonts w:ascii="Georgia" w:hAnsi="Georgia"/>
          <w:sz w:val="24"/>
          <w:szCs w:val="24"/>
        </w:rPr>
        <w:t xml:space="preserve">%, что на </w:t>
      </w:r>
      <w:r>
        <w:rPr>
          <w:rFonts w:ascii="Georgia" w:hAnsi="Georgia"/>
          <w:sz w:val="24"/>
          <w:szCs w:val="24"/>
        </w:rPr>
        <w:t xml:space="preserve">4,1 </w:t>
      </w:r>
      <w:r w:rsidRPr="006B2005">
        <w:rPr>
          <w:rFonts w:ascii="Georgia" w:hAnsi="Georgia"/>
          <w:sz w:val="24"/>
          <w:szCs w:val="24"/>
        </w:rPr>
        <w:t xml:space="preserve">процентных пункта </w:t>
      </w:r>
      <w:r>
        <w:rPr>
          <w:rFonts w:ascii="Georgia" w:hAnsi="Georgia"/>
          <w:sz w:val="24"/>
          <w:szCs w:val="24"/>
        </w:rPr>
        <w:t>больше</w:t>
      </w:r>
      <w:r w:rsidRPr="006B2005">
        <w:rPr>
          <w:rFonts w:ascii="Georgia" w:hAnsi="Georgia"/>
          <w:sz w:val="24"/>
          <w:szCs w:val="24"/>
        </w:rPr>
        <w:t>, чем в 201</w:t>
      </w:r>
      <w:r>
        <w:rPr>
          <w:rFonts w:ascii="Georgia" w:hAnsi="Georgia"/>
          <w:sz w:val="24"/>
          <w:szCs w:val="24"/>
        </w:rPr>
        <w:t>4</w:t>
      </w:r>
      <w:r w:rsidRPr="006B2005">
        <w:rPr>
          <w:rFonts w:ascii="Georgia" w:hAnsi="Georgia"/>
          <w:sz w:val="24"/>
          <w:szCs w:val="24"/>
        </w:rPr>
        <w:t xml:space="preserve"> году. </w:t>
      </w:r>
      <w:r w:rsidRPr="008671AB">
        <w:rPr>
          <w:rFonts w:ascii="Georgia" w:hAnsi="Georgia"/>
          <w:sz w:val="24"/>
          <w:szCs w:val="24"/>
        </w:rPr>
        <w:t>Значительный объем в структуре привлечения в 2015 году занимают кредиты Банка России, привлеченные по положению №312-П. Доля в структуре по итогам года – 18,1%. Это свидетельствует о высоком качестве кредитного портфеля Банка. Этот факт подтверждается также доверием со стороны Центрального Банка, предоставляющего возможность замещать дорогие источники привлечения доступными</w:t>
      </w:r>
      <w:r w:rsidR="005E127E">
        <w:rPr>
          <w:rFonts w:ascii="Georgia" w:hAnsi="Georgia"/>
          <w:sz w:val="24"/>
          <w:szCs w:val="24"/>
        </w:rPr>
        <w:t xml:space="preserve"> дол</w:t>
      </w:r>
      <w:r w:rsidRPr="008671AB">
        <w:rPr>
          <w:rFonts w:ascii="Georgia" w:hAnsi="Georgia"/>
          <w:sz w:val="24"/>
          <w:szCs w:val="24"/>
        </w:rPr>
        <w:t>госрочными пассивами на рыночных условиях.</w:t>
      </w:r>
    </w:p>
    <w:p w:rsidR="005E127E" w:rsidRPr="003A49E4" w:rsidRDefault="005E127E" w:rsidP="005E127E">
      <w:pPr>
        <w:widowControl w:val="0"/>
        <w:spacing w:after="600" w:line="240" w:lineRule="auto"/>
        <w:contextualSpacing/>
        <w:jc w:val="both"/>
        <w:rPr>
          <w:rFonts w:ascii="Georgia" w:hAnsi="Georgia"/>
          <w:sz w:val="20"/>
          <w:szCs w:val="20"/>
        </w:rPr>
      </w:pPr>
    </w:p>
    <w:p w:rsidR="007D5972" w:rsidRDefault="007D5972" w:rsidP="007D5972">
      <w:pPr>
        <w:pStyle w:val="1"/>
        <w:spacing w:before="0" w:after="120" w:line="240" w:lineRule="auto"/>
        <w:jc w:val="center"/>
        <w:rPr>
          <w:rFonts w:ascii="Georgia" w:eastAsiaTheme="minorHAnsi" w:hAnsi="Georgia" w:cstheme="minorBidi"/>
          <w:b w:val="0"/>
          <w:bCs w:val="0"/>
          <w:color w:val="auto"/>
          <w:sz w:val="24"/>
          <w:szCs w:val="24"/>
        </w:rPr>
      </w:pPr>
      <w:bookmarkStart w:id="40" w:name="_Toc447867742"/>
      <w:bookmarkStart w:id="41" w:name="_Toc447872750"/>
      <w:bookmarkStart w:id="42" w:name="_Toc447910674"/>
      <w:bookmarkStart w:id="43" w:name="_Toc448143889"/>
      <w:bookmarkStart w:id="44" w:name="_Toc448145471"/>
      <w:r w:rsidRPr="004D47AB">
        <w:rPr>
          <w:rFonts w:ascii="Georgia" w:hAnsi="Georgia"/>
          <w:b w:val="0"/>
          <w:noProof/>
        </w:rPr>
        <w:drawing>
          <wp:inline distT="0" distB="0" distL="0" distR="0" wp14:anchorId="6B29EFE7" wp14:editId="42E55A31">
            <wp:extent cx="5326912" cy="2806995"/>
            <wp:effectExtent l="0" t="0" r="0" b="0"/>
            <wp:docPr id="39" name="Диаграмма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bookmarkEnd w:id="40"/>
      <w:bookmarkEnd w:id="41"/>
      <w:bookmarkEnd w:id="42"/>
      <w:bookmarkEnd w:id="43"/>
      <w:bookmarkEnd w:id="44"/>
    </w:p>
    <w:p w:rsidR="007D5972" w:rsidRPr="00E85B82" w:rsidRDefault="007D5972" w:rsidP="007D5972">
      <w:pPr>
        <w:spacing w:after="120" w:line="240" w:lineRule="auto"/>
        <w:jc w:val="center"/>
        <w:rPr>
          <w:rFonts w:ascii="Georgia" w:hAnsi="Georgia"/>
          <w:b/>
          <w:bCs/>
          <w:noProof/>
          <w:sz w:val="24"/>
          <w:szCs w:val="24"/>
        </w:rPr>
      </w:pPr>
      <w:r w:rsidRPr="00E85B82">
        <w:rPr>
          <w:rFonts w:ascii="Georgia" w:hAnsi="Georgia"/>
          <w:b/>
          <w:bCs/>
          <w:noProof/>
          <w:sz w:val="24"/>
          <w:szCs w:val="24"/>
        </w:rPr>
        <w:t>Динамика корпоративного портфеля привлечения, млн. руб.</w:t>
      </w:r>
    </w:p>
    <w:p w:rsidR="007D5972" w:rsidRDefault="007D5972" w:rsidP="007D5972">
      <w:pPr>
        <w:tabs>
          <w:tab w:val="left" w:pos="2920"/>
        </w:tabs>
        <w:spacing w:after="120" w:line="240" w:lineRule="auto"/>
        <w:jc w:val="both"/>
        <w:rPr>
          <w:rFonts w:ascii="Georgia" w:hAnsi="Georgia"/>
          <w:b/>
          <w:i/>
          <w:color w:val="365F91" w:themeColor="accent1" w:themeShade="BF"/>
          <w:sz w:val="28"/>
          <w:szCs w:val="24"/>
        </w:rPr>
      </w:pPr>
    </w:p>
    <w:p w:rsidR="007D5972" w:rsidRDefault="007D5972" w:rsidP="007D5972">
      <w:pPr>
        <w:tabs>
          <w:tab w:val="left" w:pos="2920"/>
        </w:tabs>
        <w:spacing w:after="120" w:line="240" w:lineRule="auto"/>
        <w:jc w:val="both"/>
        <w:rPr>
          <w:rFonts w:ascii="Georgia" w:hAnsi="Georgia"/>
          <w:b/>
          <w:i/>
          <w:color w:val="365F91" w:themeColor="accent1" w:themeShade="BF"/>
          <w:sz w:val="28"/>
          <w:szCs w:val="24"/>
        </w:rPr>
      </w:pPr>
      <w:r w:rsidRPr="00DC6399">
        <w:rPr>
          <w:rFonts w:ascii="Georgia" w:hAnsi="Georgia"/>
          <w:b/>
          <w:i/>
          <w:color w:val="365F91" w:themeColor="accent1" w:themeShade="BF"/>
          <w:sz w:val="28"/>
          <w:szCs w:val="24"/>
        </w:rPr>
        <w:t>Диста</w:t>
      </w:r>
      <w:r>
        <w:rPr>
          <w:rFonts w:ascii="Georgia" w:hAnsi="Georgia"/>
          <w:b/>
          <w:i/>
          <w:color w:val="365F91" w:themeColor="accent1" w:themeShade="BF"/>
          <w:sz w:val="28"/>
          <w:szCs w:val="24"/>
        </w:rPr>
        <w:t>нционное банковское обслуживание</w:t>
      </w:r>
    </w:p>
    <w:p w:rsidR="007D5972" w:rsidRPr="00B3746F" w:rsidRDefault="007D5972" w:rsidP="005E127E">
      <w:pPr>
        <w:tabs>
          <w:tab w:val="left" w:pos="2920"/>
        </w:tabs>
        <w:spacing w:after="120" w:line="240" w:lineRule="auto"/>
        <w:jc w:val="both"/>
        <w:rPr>
          <w:rFonts w:ascii="Georgia" w:hAnsi="Georgia"/>
          <w:bCs/>
          <w:sz w:val="24"/>
          <w:szCs w:val="24"/>
        </w:rPr>
      </w:pPr>
      <w:r w:rsidRPr="00B3746F">
        <w:rPr>
          <w:rFonts w:ascii="Georgia" w:hAnsi="Georgia"/>
          <w:bCs/>
          <w:sz w:val="24"/>
          <w:szCs w:val="24"/>
        </w:rPr>
        <w:t>В 201</w:t>
      </w:r>
      <w:r>
        <w:rPr>
          <w:rFonts w:ascii="Georgia" w:hAnsi="Georgia"/>
          <w:bCs/>
          <w:sz w:val="24"/>
          <w:szCs w:val="24"/>
        </w:rPr>
        <w:t>5</w:t>
      </w:r>
      <w:r w:rsidRPr="00B3746F">
        <w:rPr>
          <w:rFonts w:ascii="Georgia" w:hAnsi="Georgia"/>
          <w:bCs/>
          <w:sz w:val="24"/>
          <w:szCs w:val="24"/>
        </w:rPr>
        <w:t xml:space="preserve"> году количество активных клиентов</w:t>
      </w:r>
      <w:r>
        <w:rPr>
          <w:rFonts w:ascii="Georgia" w:hAnsi="Georgia"/>
          <w:bCs/>
          <w:sz w:val="24"/>
          <w:szCs w:val="24"/>
        </w:rPr>
        <w:t xml:space="preserve"> системы </w:t>
      </w:r>
      <w:r w:rsidRPr="0008398C">
        <w:rPr>
          <w:rFonts w:ascii="Georgia" w:hAnsi="Georgia"/>
          <w:b/>
          <w:bCs/>
          <w:i/>
          <w:sz w:val="24"/>
          <w:szCs w:val="24"/>
        </w:rPr>
        <w:t>дистанционного банковского обслуживания</w:t>
      </w:r>
      <w:r w:rsidR="00AB2EA6">
        <w:rPr>
          <w:rFonts w:ascii="Georgia" w:hAnsi="Georgia"/>
          <w:bCs/>
          <w:sz w:val="24"/>
          <w:szCs w:val="24"/>
        </w:rPr>
        <w:t xml:space="preserve"> </w:t>
      </w:r>
      <w:r>
        <w:rPr>
          <w:rFonts w:ascii="Georgia" w:hAnsi="Georgia"/>
          <w:bCs/>
          <w:sz w:val="24"/>
          <w:szCs w:val="24"/>
        </w:rPr>
        <w:t xml:space="preserve"> ПАО «ИнтехБанк» увеличилось на 14,3% и на конец года достигло 4,8 тыс. против 4,2 тыс. на конец 2014 года. При этом доля подключенных к ДБО расчетных счетов увеличилась на 8,2 процентных пунктов до 71,4%.</w:t>
      </w:r>
    </w:p>
    <w:p w:rsidR="007D5972" w:rsidRPr="00965340" w:rsidRDefault="007D5972" w:rsidP="007D5972">
      <w:pPr>
        <w:pStyle w:val="2014"/>
        <w:spacing w:before="120"/>
        <w:jc w:val="center"/>
      </w:pPr>
      <w:r>
        <w:rPr>
          <w:noProof/>
        </w:rPr>
        <w:drawing>
          <wp:inline distT="0" distB="0" distL="0" distR="0" wp14:anchorId="73C1EB94" wp14:editId="71778E8A">
            <wp:extent cx="5260769" cy="2363189"/>
            <wp:effectExtent l="0" t="0" r="0" b="0"/>
            <wp:docPr id="48" name="Диаграмма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D5972" w:rsidRPr="0008398C" w:rsidRDefault="007D5972" w:rsidP="007D5972">
      <w:pPr>
        <w:pStyle w:val="2014"/>
        <w:jc w:val="center"/>
        <w:rPr>
          <w:b/>
          <w:bCs/>
          <w:noProof/>
        </w:rPr>
      </w:pPr>
      <w:r w:rsidRPr="0008398C">
        <w:rPr>
          <w:b/>
          <w:bCs/>
          <w:noProof/>
        </w:rPr>
        <w:t xml:space="preserve">Динамика количества клиентов, подключенных к системе дистанционного банковского обслуживания </w:t>
      </w:r>
      <w:r>
        <w:rPr>
          <w:b/>
          <w:bCs/>
          <w:noProof/>
        </w:rPr>
        <w:t>П</w:t>
      </w:r>
      <w:r w:rsidRPr="0008398C">
        <w:rPr>
          <w:b/>
          <w:bCs/>
          <w:noProof/>
        </w:rPr>
        <w:t>АО «ИнтехБанк»</w:t>
      </w:r>
    </w:p>
    <w:p w:rsidR="007D5972" w:rsidRPr="005E127E" w:rsidRDefault="007D5972" w:rsidP="005E127E">
      <w:pPr>
        <w:pStyle w:val="2014"/>
        <w:rPr>
          <w:bCs/>
        </w:rPr>
      </w:pPr>
      <w:r w:rsidRPr="005E127E">
        <w:rPr>
          <w:bCs/>
        </w:rPr>
        <w:t>Среди ключевых направлений дальнейшего развития ПАО «ИнтехБанк» выделяет работу по оптимизации бизнес-процессов в области корпоративного кредитования, повышению эффективности использования ресурсов, расширению географии предлагаемых банковских продуктов, разработке специализированных продуктов для различных клиентских сегментов.</w:t>
      </w:r>
    </w:p>
    <w:p w:rsidR="00E83F64" w:rsidRPr="00097095" w:rsidRDefault="00E83F64" w:rsidP="00097095">
      <w:pPr>
        <w:pStyle w:val="1"/>
        <w:spacing w:before="0" w:line="240" w:lineRule="auto"/>
        <w:jc w:val="both"/>
        <w:rPr>
          <w:rFonts w:ascii="Georgia" w:eastAsiaTheme="minorHAnsi" w:hAnsi="Georgia" w:cstheme="minorBidi"/>
          <w:b w:val="0"/>
          <w:bCs w:val="0"/>
          <w:color w:val="auto"/>
          <w:sz w:val="24"/>
          <w:szCs w:val="24"/>
        </w:rPr>
      </w:pPr>
    </w:p>
    <w:p w:rsidR="00E83F64" w:rsidRDefault="00E83F64" w:rsidP="00E83F64">
      <w:pPr>
        <w:rPr>
          <w:noProof/>
        </w:rPr>
      </w:pPr>
      <w:r>
        <w:rPr>
          <w:noProof/>
        </w:rPr>
        <w:t xml:space="preserve"> </w:t>
      </w:r>
    </w:p>
    <w:p w:rsidR="00E83F64" w:rsidRDefault="00E83F64" w:rsidP="00AC132D">
      <w:pPr>
        <w:spacing w:after="0" w:line="360" w:lineRule="auto"/>
        <w:jc w:val="both"/>
        <w:rPr>
          <w:noProof/>
        </w:rPr>
      </w:pPr>
    </w:p>
    <w:p w:rsidR="00CC3E77" w:rsidRPr="00CC3E77" w:rsidRDefault="00CC3E77" w:rsidP="00AC132D">
      <w:pPr>
        <w:spacing w:after="0" w:line="360" w:lineRule="auto"/>
        <w:contextualSpacing/>
        <w:jc w:val="both"/>
        <w:rPr>
          <w:rFonts w:cstheme="minorHAnsi"/>
          <w:sz w:val="28"/>
          <w:szCs w:val="28"/>
        </w:rPr>
      </w:pPr>
    </w:p>
    <w:p w:rsidR="00CC3E77" w:rsidRPr="00CC3E77" w:rsidRDefault="00CC3E77" w:rsidP="00AC132D">
      <w:pPr>
        <w:spacing w:after="0" w:line="360" w:lineRule="auto"/>
        <w:jc w:val="both"/>
        <w:rPr>
          <w:rFonts w:cstheme="minorHAnsi"/>
          <w:b/>
          <w:noProof/>
          <w:sz w:val="28"/>
          <w:szCs w:val="28"/>
        </w:rPr>
      </w:pPr>
    </w:p>
    <w:p w:rsidR="00CC3E77" w:rsidRPr="00CC3E77" w:rsidRDefault="00CC3E77" w:rsidP="00AC132D">
      <w:pPr>
        <w:pStyle w:val="1"/>
        <w:spacing w:before="0" w:line="360" w:lineRule="auto"/>
        <w:jc w:val="both"/>
        <w:rPr>
          <w:rFonts w:asciiTheme="minorHAnsi" w:hAnsiTheme="minorHAnsi" w:cstheme="minorHAnsi"/>
          <w:noProof/>
          <w:color w:val="00B050"/>
        </w:rPr>
      </w:pPr>
    </w:p>
    <w:p w:rsidR="00CC3E77" w:rsidRPr="00CC3E77" w:rsidRDefault="00CC3E77" w:rsidP="00AC132D">
      <w:pPr>
        <w:pStyle w:val="1"/>
        <w:spacing w:before="0" w:line="360" w:lineRule="auto"/>
        <w:jc w:val="both"/>
        <w:rPr>
          <w:rFonts w:asciiTheme="minorHAnsi" w:hAnsiTheme="minorHAnsi" w:cstheme="minorHAnsi"/>
          <w:noProof/>
          <w:color w:val="00B050"/>
        </w:rPr>
      </w:pPr>
    </w:p>
    <w:p w:rsidR="00CC3E77" w:rsidRPr="00CC3E77" w:rsidRDefault="00CC3E77" w:rsidP="00AC132D">
      <w:pPr>
        <w:spacing w:after="0" w:line="360" w:lineRule="auto"/>
        <w:jc w:val="both"/>
        <w:rPr>
          <w:rFonts w:cstheme="minorHAnsi"/>
          <w:noProof/>
          <w:sz w:val="28"/>
          <w:szCs w:val="28"/>
        </w:rPr>
      </w:pPr>
    </w:p>
    <w:p w:rsidR="00CC3E77" w:rsidRPr="00CC3E77" w:rsidRDefault="00CC3E77" w:rsidP="00AC132D">
      <w:pPr>
        <w:spacing w:after="0" w:line="360" w:lineRule="auto"/>
        <w:jc w:val="both"/>
        <w:rPr>
          <w:rFonts w:cstheme="minorHAnsi"/>
          <w:noProof/>
          <w:sz w:val="28"/>
          <w:szCs w:val="28"/>
        </w:rPr>
      </w:pPr>
    </w:p>
    <w:p w:rsidR="00CC3E77" w:rsidRPr="00CC3E77" w:rsidRDefault="00CC3E77" w:rsidP="00AC132D">
      <w:pPr>
        <w:spacing w:after="0" w:line="360" w:lineRule="auto"/>
        <w:jc w:val="both"/>
        <w:rPr>
          <w:rFonts w:eastAsiaTheme="majorEastAsia" w:cstheme="minorHAnsi"/>
          <w:noProof/>
          <w:sz w:val="28"/>
          <w:szCs w:val="28"/>
        </w:rPr>
      </w:pPr>
    </w:p>
    <w:p w:rsidR="00E83F64" w:rsidRDefault="00E83F64" w:rsidP="00E83F64">
      <w:pPr>
        <w:rPr>
          <w:noProof/>
        </w:rPr>
      </w:pPr>
      <w:r>
        <w:rPr>
          <w:noProof/>
        </w:rPr>
        <w:drawing>
          <wp:anchor distT="0" distB="0" distL="114300" distR="114300" simplePos="0" relativeHeight="251682816" behindDoc="1" locked="0" layoutInCell="1" allowOverlap="1" wp14:anchorId="12A4350E" wp14:editId="4094035F">
            <wp:simplePos x="0" y="0"/>
            <wp:positionH relativeFrom="margin">
              <wp:align>left</wp:align>
            </wp:positionH>
            <wp:positionV relativeFrom="paragraph">
              <wp:posOffset>188595</wp:posOffset>
            </wp:positionV>
            <wp:extent cx="2633980" cy="1068705"/>
            <wp:effectExtent l="19050" t="0" r="0" b="0"/>
            <wp:wrapSquare wrapText="bothSides"/>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573" t="5579" r="1437" b="3665"/>
                    <a:stretch>
                      <a:fillRect/>
                    </a:stretch>
                  </pic:blipFill>
                  <pic:spPr bwMode="auto">
                    <a:xfrm>
                      <a:off x="0" y="0"/>
                      <a:ext cx="2633980" cy="1068705"/>
                    </a:xfrm>
                    <a:prstGeom prst="rect">
                      <a:avLst/>
                    </a:prstGeom>
                    <a:noFill/>
                    <a:ln w="9525">
                      <a:noFill/>
                      <a:miter lim="800000"/>
                      <a:headEnd/>
                      <a:tailEnd/>
                    </a:ln>
                  </pic:spPr>
                </pic:pic>
              </a:graphicData>
            </a:graphic>
          </wp:anchor>
        </w:drawing>
      </w:r>
    </w:p>
    <w:p w:rsidR="00E83F64" w:rsidRDefault="00E83F64" w:rsidP="00E83F64">
      <w:pPr>
        <w:rPr>
          <w:noProof/>
        </w:rPr>
      </w:pPr>
    </w:p>
    <w:p w:rsidR="00E83F64" w:rsidRDefault="00E83F64" w:rsidP="00E83F64">
      <w:pPr>
        <w:rPr>
          <w:noProof/>
        </w:rPr>
      </w:pPr>
    </w:p>
    <w:p w:rsidR="00E83F64" w:rsidRDefault="00E83F64" w:rsidP="00E83F64">
      <w:pPr>
        <w:rPr>
          <w:noProof/>
        </w:rPr>
      </w:pPr>
    </w:p>
    <w:p w:rsidR="00E83F64" w:rsidRDefault="00AA156D" w:rsidP="00E83F64">
      <w:pPr>
        <w:rPr>
          <w:noProof/>
        </w:rPr>
      </w:pPr>
      <w:r>
        <w:rPr>
          <w:noProof/>
        </w:rPr>
      </w:r>
      <w:r>
        <w:rPr>
          <w:noProof/>
        </w:rPr>
        <w:pict>
          <v:shape id="AutoShape 46" o:spid="_x0000_s1058" type="#_x0000_t32" style="width:425.8pt;height:.05pt;visibility:visible;mso-wrap-style:square;mso-left-percent:-10001;mso-top-percent:-10001;mso-position-horizontal:absolute;mso-position-horizontal-relative:char;mso-position-vertical:absolute;mso-position-vertical-relative:line;mso-left-percent:-10001;mso-top-percent:-10001" strokecolor="#00b050" strokeweight="4.5pt">
            <w10:wrap type="none"/>
            <w10:anchorlock/>
          </v:shape>
        </w:pict>
      </w:r>
    </w:p>
    <w:p w:rsidR="00E83F64" w:rsidRDefault="00E83F64" w:rsidP="00E83F64">
      <w:pPr>
        <w:rPr>
          <w:noProof/>
        </w:rPr>
      </w:pPr>
    </w:p>
    <w:p w:rsidR="001D2915" w:rsidRDefault="0022141B" w:rsidP="0022141B">
      <w:pPr>
        <w:pStyle w:val="1"/>
        <w:spacing w:before="0" w:line="240" w:lineRule="auto"/>
        <w:jc w:val="center"/>
        <w:rPr>
          <w:rFonts w:ascii="Georgia" w:hAnsi="Georgia"/>
          <w:b w:val="0"/>
          <w:noProof/>
          <w:sz w:val="52"/>
        </w:rPr>
      </w:pPr>
      <w:bookmarkStart w:id="45" w:name="_Toc448145472"/>
      <w:r w:rsidRPr="0022141B">
        <w:rPr>
          <w:rFonts w:ascii="Georgia" w:hAnsi="Georgia"/>
          <w:noProof/>
          <w:color w:val="auto"/>
          <w:sz w:val="52"/>
          <w:szCs w:val="52"/>
        </w:rPr>
        <w:t>ИНВЕСТИЦИОННЫЙ БИЗНЕС</w:t>
      </w:r>
      <w:bookmarkEnd w:id="45"/>
    </w:p>
    <w:p w:rsidR="001D2915" w:rsidRDefault="001D2915">
      <w:pPr>
        <w:rPr>
          <w:rFonts w:ascii="Georgia" w:hAnsi="Georgia"/>
          <w:b/>
          <w:noProof/>
          <w:sz w:val="52"/>
        </w:rPr>
      </w:pPr>
      <w:r>
        <w:rPr>
          <w:rFonts w:ascii="Georgia" w:hAnsi="Georgia"/>
          <w:b/>
          <w:noProof/>
          <w:sz w:val="52"/>
        </w:rPr>
        <w:br w:type="page"/>
      </w:r>
    </w:p>
    <w:p w:rsidR="0022141B" w:rsidRPr="0022141B" w:rsidRDefault="0022141B" w:rsidP="0022141B">
      <w:pPr>
        <w:spacing w:after="0" w:line="240" w:lineRule="auto"/>
        <w:rPr>
          <w:rFonts w:ascii="Cambria" w:hAnsi="Cambria"/>
          <w:noProof/>
          <w:color w:val="00B050"/>
          <w:sz w:val="20"/>
          <w:szCs w:val="20"/>
        </w:rPr>
      </w:pPr>
    </w:p>
    <w:p w:rsidR="007D5972" w:rsidRPr="003D5038" w:rsidRDefault="007D5972" w:rsidP="007D5972">
      <w:pPr>
        <w:spacing w:after="0" w:line="240" w:lineRule="auto"/>
        <w:rPr>
          <w:rFonts w:ascii="Cambria" w:hAnsi="Cambria"/>
          <w:b/>
          <w:noProof/>
          <w:color w:val="00B050"/>
          <w:sz w:val="40"/>
          <w:szCs w:val="40"/>
        </w:rPr>
      </w:pPr>
      <w:r w:rsidRPr="003D5038">
        <w:rPr>
          <w:rFonts w:ascii="Cambria" w:hAnsi="Cambria"/>
          <w:b/>
          <w:noProof/>
          <w:color w:val="00B050"/>
          <w:sz w:val="40"/>
          <w:szCs w:val="40"/>
        </w:rPr>
        <w:t>Инвестиционный бизнес</w:t>
      </w:r>
    </w:p>
    <w:p w:rsidR="007D5972" w:rsidRPr="003D5038" w:rsidRDefault="007D5972" w:rsidP="007D5972">
      <w:pPr>
        <w:spacing w:after="0" w:line="240" w:lineRule="auto"/>
        <w:rPr>
          <w:rFonts w:ascii="Cambria" w:hAnsi="Cambria"/>
          <w:noProof/>
          <w:color w:val="00B050"/>
          <w:sz w:val="20"/>
          <w:szCs w:val="20"/>
        </w:rPr>
      </w:pPr>
    </w:p>
    <w:p w:rsidR="007D5972" w:rsidRPr="003D5038" w:rsidRDefault="007D5972" w:rsidP="005E127E">
      <w:pPr>
        <w:keepNext/>
        <w:spacing w:after="120" w:line="240" w:lineRule="auto"/>
        <w:jc w:val="both"/>
        <w:rPr>
          <w:rFonts w:ascii="Georgia" w:hAnsi="Georgia"/>
          <w:sz w:val="24"/>
          <w:szCs w:val="24"/>
        </w:rPr>
      </w:pPr>
      <w:r w:rsidRPr="003D5038">
        <w:rPr>
          <w:rFonts w:ascii="Georgia" w:hAnsi="Georgia"/>
          <w:sz w:val="24"/>
          <w:szCs w:val="24"/>
        </w:rPr>
        <w:t>Одним из приорит</w:t>
      </w:r>
      <w:r w:rsidR="00FB5E38">
        <w:rPr>
          <w:rFonts w:ascii="Georgia" w:hAnsi="Georgia"/>
          <w:sz w:val="24"/>
          <w:szCs w:val="24"/>
        </w:rPr>
        <w:t>етных направлений деятельности П</w:t>
      </w:r>
      <w:r w:rsidRPr="003D5038">
        <w:rPr>
          <w:rFonts w:ascii="Georgia" w:hAnsi="Georgia"/>
          <w:sz w:val="24"/>
          <w:szCs w:val="24"/>
        </w:rPr>
        <w:t xml:space="preserve">АО «ИнтехБанк» в 2015 году оставался </w:t>
      </w:r>
      <w:r w:rsidRPr="003D5038">
        <w:rPr>
          <w:rFonts w:ascii="Georgia" w:hAnsi="Georgia"/>
          <w:b/>
          <w:i/>
          <w:sz w:val="24"/>
          <w:szCs w:val="24"/>
        </w:rPr>
        <w:t>«Инвестиционный бизнес»</w:t>
      </w:r>
      <w:r w:rsidRPr="003D5038">
        <w:rPr>
          <w:rFonts w:ascii="Georgia" w:hAnsi="Georgia"/>
          <w:sz w:val="24"/>
          <w:szCs w:val="24"/>
        </w:rPr>
        <w:t>. В рамках данного направления проводилась совокупность мероприятий, направленных на разработку и реализацию стратегии по управлению портфелем инвестиций, достижения в нем оптимального сочетания финансовых инструментов, увеличения прибыльности операций, поддержания допустимого уровня рискованности и ликвидности.</w:t>
      </w:r>
    </w:p>
    <w:p w:rsidR="007D5972" w:rsidRPr="003D5038" w:rsidRDefault="007D5972" w:rsidP="005E127E">
      <w:pPr>
        <w:keepNext/>
        <w:spacing w:after="120" w:line="240" w:lineRule="auto"/>
        <w:jc w:val="both"/>
        <w:rPr>
          <w:rFonts w:ascii="Georgia" w:hAnsi="Georgia"/>
          <w:sz w:val="24"/>
          <w:szCs w:val="24"/>
        </w:rPr>
      </w:pPr>
      <w:r w:rsidRPr="003D5038">
        <w:rPr>
          <w:rFonts w:ascii="Georgia" w:hAnsi="Georgia"/>
          <w:sz w:val="24"/>
          <w:szCs w:val="24"/>
        </w:rPr>
        <w:t>Ключевая задача, которая решается в рамках бизнес-блока «Инвестиционный бизнес» - повышение эффективности вложений денежных средств на рынке ценных бумаг и в инвестиционные проекты.</w:t>
      </w:r>
    </w:p>
    <w:p w:rsidR="00FB5E38" w:rsidRPr="005E127E" w:rsidRDefault="00FB5E38" w:rsidP="005E127E">
      <w:pPr>
        <w:keepNext/>
        <w:spacing w:after="120" w:line="240" w:lineRule="auto"/>
        <w:jc w:val="both"/>
        <w:rPr>
          <w:rFonts w:ascii="Georgia" w:hAnsi="Georgia"/>
          <w:b/>
          <w:i/>
          <w:color w:val="365F91" w:themeColor="accent1" w:themeShade="BF"/>
          <w:sz w:val="24"/>
          <w:szCs w:val="24"/>
        </w:rPr>
      </w:pPr>
    </w:p>
    <w:p w:rsidR="007D5972" w:rsidRPr="003D5038" w:rsidRDefault="007D5972" w:rsidP="007D5972">
      <w:pPr>
        <w:keepNext/>
        <w:spacing w:after="120" w:line="240" w:lineRule="auto"/>
        <w:jc w:val="both"/>
        <w:rPr>
          <w:rFonts w:ascii="Georgia" w:hAnsi="Georgia"/>
          <w:b/>
          <w:i/>
          <w:color w:val="365F91" w:themeColor="accent1" w:themeShade="BF"/>
          <w:sz w:val="28"/>
          <w:szCs w:val="24"/>
        </w:rPr>
      </w:pPr>
      <w:r w:rsidRPr="003D5038">
        <w:rPr>
          <w:rFonts w:ascii="Georgia" w:hAnsi="Georgia"/>
          <w:b/>
          <w:i/>
          <w:color w:val="365F91" w:themeColor="accent1" w:themeShade="BF"/>
          <w:sz w:val="28"/>
          <w:szCs w:val="24"/>
        </w:rPr>
        <w:t>Активы</w:t>
      </w:r>
    </w:p>
    <w:p w:rsidR="007D5972" w:rsidRPr="003D5038" w:rsidRDefault="007D5972" w:rsidP="005E127E">
      <w:pPr>
        <w:keepNext/>
        <w:spacing w:after="120" w:line="240" w:lineRule="auto"/>
        <w:jc w:val="both"/>
        <w:rPr>
          <w:rFonts w:ascii="Georgia" w:hAnsi="Georgia"/>
          <w:sz w:val="24"/>
          <w:szCs w:val="24"/>
        </w:rPr>
      </w:pPr>
      <w:r w:rsidRPr="003D5038">
        <w:rPr>
          <w:rFonts w:ascii="Georgia" w:hAnsi="Georgia"/>
          <w:sz w:val="24"/>
          <w:szCs w:val="24"/>
        </w:rPr>
        <w:t xml:space="preserve">В течение 2015 года наиболее высокие темпы роста в структуре активов инвестиционного блока наблюдались по статье «Средства на корреспондентских счетах «Ностро». Объем </w:t>
      </w:r>
      <w:r w:rsidRPr="003D5038">
        <w:rPr>
          <w:rFonts w:ascii="Georgia" w:hAnsi="Georgia"/>
          <w:b/>
          <w:i/>
          <w:sz w:val="24"/>
          <w:szCs w:val="24"/>
        </w:rPr>
        <w:t>средств на корреспондентских счетах «Ностро»</w:t>
      </w:r>
      <w:r w:rsidRPr="003D5038">
        <w:rPr>
          <w:rFonts w:ascii="Georgia" w:hAnsi="Georgia"/>
          <w:sz w:val="24"/>
          <w:szCs w:val="24"/>
        </w:rPr>
        <w:t xml:space="preserve"> за год увеличился на 5,2% до 468 млн. рублей, при этом их доля в активах инвестиционного бизнеса выросла с 7,5 до 9,4%.</w:t>
      </w:r>
    </w:p>
    <w:p w:rsidR="007D5972" w:rsidRPr="003D5038" w:rsidRDefault="007D5972" w:rsidP="007D5972">
      <w:pPr>
        <w:keepNext/>
        <w:spacing w:after="120" w:line="240" w:lineRule="auto"/>
        <w:ind w:firstLine="641"/>
        <w:jc w:val="both"/>
        <w:rPr>
          <w:rFonts w:ascii="Cambria" w:hAnsi="Cambria"/>
          <w:noProof/>
          <w:color w:val="00B050"/>
          <w:sz w:val="20"/>
          <w:szCs w:val="20"/>
        </w:rPr>
      </w:pPr>
      <w:r w:rsidRPr="003D5038">
        <w:rPr>
          <w:noProof/>
        </w:rPr>
        <w:drawing>
          <wp:inline distT="0" distB="0" distL="0" distR="0" wp14:anchorId="09523094" wp14:editId="311E41CF">
            <wp:extent cx="4943475" cy="2524125"/>
            <wp:effectExtent l="0" t="0" r="0" b="0"/>
            <wp:docPr id="49" name="Диаграмма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7D5972" w:rsidRPr="003D5038" w:rsidRDefault="007D5972" w:rsidP="007D5972">
      <w:pPr>
        <w:spacing w:after="120" w:line="240" w:lineRule="auto"/>
        <w:jc w:val="center"/>
        <w:rPr>
          <w:rFonts w:ascii="Georgia" w:hAnsi="Georgia"/>
          <w:b/>
          <w:bCs/>
          <w:noProof/>
          <w:sz w:val="24"/>
          <w:szCs w:val="24"/>
        </w:rPr>
      </w:pPr>
      <w:r w:rsidRPr="003D5038">
        <w:rPr>
          <w:rFonts w:ascii="Georgia" w:hAnsi="Georgia"/>
          <w:b/>
          <w:bCs/>
          <w:noProof/>
          <w:sz w:val="24"/>
          <w:szCs w:val="24"/>
        </w:rPr>
        <w:t>Динамика активов инвестиционного бизнеса, млн. руб.</w:t>
      </w:r>
    </w:p>
    <w:p w:rsidR="005E127E" w:rsidRDefault="005E127E" w:rsidP="007D5972">
      <w:pPr>
        <w:spacing w:after="120" w:line="240" w:lineRule="auto"/>
        <w:jc w:val="both"/>
        <w:rPr>
          <w:rFonts w:ascii="Georgia" w:hAnsi="Georgia"/>
          <w:sz w:val="24"/>
          <w:szCs w:val="24"/>
        </w:rPr>
      </w:pPr>
    </w:p>
    <w:p w:rsidR="007D5972" w:rsidRPr="003D5038" w:rsidRDefault="007D5972" w:rsidP="005E127E">
      <w:pPr>
        <w:spacing w:after="120" w:line="240" w:lineRule="auto"/>
        <w:contextualSpacing/>
        <w:jc w:val="both"/>
        <w:rPr>
          <w:rFonts w:ascii="Georgia" w:hAnsi="Georgia"/>
          <w:sz w:val="24"/>
          <w:szCs w:val="24"/>
        </w:rPr>
      </w:pPr>
      <w:r w:rsidRPr="003D5038">
        <w:rPr>
          <w:rFonts w:ascii="Georgia" w:hAnsi="Georgia"/>
          <w:sz w:val="24"/>
          <w:szCs w:val="24"/>
        </w:rPr>
        <w:t xml:space="preserve">Активные операции Банка на фондовом рынке представлены также вложениями в котируемые ценные бумаги надежных эмитентов, главным образом, это бумаги, входящие в Ломбардный список Банка России. </w:t>
      </w:r>
      <w:r w:rsidRPr="003D5038">
        <w:rPr>
          <w:rFonts w:ascii="Georgia" w:hAnsi="Georgia"/>
          <w:b/>
          <w:i/>
          <w:sz w:val="24"/>
          <w:szCs w:val="24"/>
        </w:rPr>
        <w:t>Портфель ценных бумаг</w:t>
      </w:r>
      <w:r w:rsidRPr="003D5038">
        <w:rPr>
          <w:rFonts w:ascii="Georgia" w:hAnsi="Georgia"/>
          <w:sz w:val="24"/>
          <w:szCs w:val="24"/>
        </w:rPr>
        <w:t xml:space="preserve"> Банка, включающий государственные и корпоративные облигации, акции «голубых фишек» и векселя, а также активы, переданные в доверительное управление, в 2015 году снизился на 0,7% до 4,3 млрд. рублей. </w:t>
      </w:r>
      <w:r w:rsidRPr="003D5038">
        <w:rPr>
          <w:rFonts w:ascii="Georgia" w:hAnsi="Georgia"/>
          <w:color w:val="000000" w:themeColor="text1"/>
          <w:sz w:val="24"/>
          <w:szCs w:val="24"/>
        </w:rPr>
        <w:t>При этом его доля в структуре активов на конец года увеличилась с 69,6% до 83,9%.</w:t>
      </w:r>
      <w:r w:rsidRPr="003D5038">
        <w:rPr>
          <w:rFonts w:ascii="Georgia" w:hAnsi="Georgia"/>
          <w:sz w:val="24"/>
          <w:szCs w:val="24"/>
        </w:rPr>
        <w:t xml:space="preserve"> </w:t>
      </w:r>
    </w:p>
    <w:p w:rsidR="003A49E4" w:rsidRDefault="007D5972" w:rsidP="005E127E">
      <w:pPr>
        <w:spacing w:after="120" w:line="240" w:lineRule="auto"/>
        <w:contextualSpacing/>
        <w:jc w:val="both"/>
        <w:rPr>
          <w:rFonts w:ascii="Georgia" w:hAnsi="Georgia"/>
          <w:sz w:val="24"/>
          <w:szCs w:val="24"/>
        </w:rPr>
      </w:pPr>
      <w:r w:rsidRPr="003D5038">
        <w:rPr>
          <w:rFonts w:ascii="Georgia" w:hAnsi="Georgia"/>
          <w:sz w:val="24"/>
          <w:szCs w:val="24"/>
        </w:rPr>
        <w:t xml:space="preserve">С учетом ситуации с ликвидностью в банковском секторе в рамках управления портфелем ценных бумаг важным фактором для Банка является возможность их использования в качестве обеспечения по операциям РЕПО. Это в 2015 году стало одним из факторов вложений в </w:t>
      </w:r>
    </w:p>
    <w:p w:rsidR="003A49E4" w:rsidRPr="003A49E4" w:rsidRDefault="003A49E4" w:rsidP="005E127E">
      <w:pPr>
        <w:spacing w:after="120" w:line="240" w:lineRule="auto"/>
        <w:contextualSpacing/>
        <w:jc w:val="both"/>
        <w:rPr>
          <w:rFonts w:ascii="Georgia" w:hAnsi="Georgia"/>
          <w:sz w:val="20"/>
          <w:szCs w:val="20"/>
        </w:rPr>
      </w:pPr>
    </w:p>
    <w:p w:rsidR="007D5972" w:rsidRPr="003D5038" w:rsidRDefault="007D5972" w:rsidP="005E127E">
      <w:pPr>
        <w:spacing w:after="120" w:line="240" w:lineRule="auto"/>
        <w:contextualSpacing/>
        <w:jc w:val="both"/>
        <w:rPr>
          <w:rFonts w:ascii="Georgia" w:hAnsi="Georgia"/>
          <w:sz w:val="24"/>
          <w:szCs w:val="24"/>
        </w:rPr>
      </w:pPr>
      <w:r w:rsidRPr="003D5038">
        <w:rPr>
          <w:rFonts w:ascii="Georgia" w:hAnsi="Georgia"/>
          <w:sz w:val="24"/>
          <w:szCs w:val="24"/>
        </w:rPr>
        <w:t xml:space="preserve">долговые обязательства. При этом наблюдалась тенденция к вложению в </w:t>
      </w:r>
      <w:r w:rsidRPr="003D5038">
        <w:rPr>
          <w:rFonts w:ascii="Georgia" w:hAnsi="Georgia"/>
          <w:b/>
          <w:sz w:val="24"/>
          <w:szCs w:val="24"/>
        </w:rPr>
        <w:t>корпоративные долговые ценные бумаги</w:t>
      </w:r>
      <w:r w:rsidR="00FB5E38">
        <w:rPr>
          <w:rFonts w:ascii="Georgia" w:hAnsi="Georgia"/>
          <w:sz w:val="24"/>
          <w:szCs w:val="24"/>
        </w:rPr>
        <w:t>,</w:t>
      </w:r>
      <w:r w:rsidRPr="003D5038">
        <w:rPr>
          <w:rFonts w:ascii="Georgia" w:hAnsi="Georgia"/>
          <w:sz w:val="24"/>
          <w:szCs w:val="24"/>
        </w:rPr>
        <w:t xml:space="preserve"> доля в активах которых возросла с 11,6% до 15,6%, и на конец 2015 года объем вложений составил 678 млн. руб.</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С целью повышения доходности портфеля ценных бумаг объем инвестирования в </w:t>
      </w:r>
      <w:r w:rsidRPr="003D5038">
        <w:rPr>
          <w:rFonts w:ascii="Georgia" w:hAnsi="Georgia"/>
          <w:b/>
          <w:i/>
          <w:sz w:val="24"/>
          <w:szCs w:val="24"/>
        </w:rPr>
        <w:t>акции</w:t>
      </w:r>
      <w:r w:rsidRPr="003D5038">
        <w:rPr>
          <w:rFonts w:ascii="Georgia" w:hAnsi="Georgia"/>
          <w:sz w:val="24"/>
          <w:szCs w:val="24"/>
        </w:rPr>
        <w:t xml:space="preserve"> за год увеличился на 628,6% до 504 млн. рублей, а их удельных вес на конец 2015 года составил 11,6% портфеля вложений в ценные бумаги против 1,6% на конец 2014 года.</w:t>
      </w:r>
    </w:p>
    <w:p w:rsidR="007D5972" w:rsidRPr="003D5038" w:rsidRDefault="007D5972" w:rsidP="007D5972">
      <w:pPr>
        <w:spacing w:after="0" w:line="240" w:lineRule="auto"/>
        <w:jc w:val="center"/>
        <w:rPr>
          <w:rFonts w:ascii="Cambria" w:hAnsi="Cambria"/>
          <w:noProof/>
          <w:color w:val="00B050"/>
          <w:sz w:val="20"/>
          <w:szCs w:val="20"/>
        </w:rPr>
      </w:pPr>
      <w:r w:rsidRPr="003D5038">
        <w:rPr>
          <w:noProof/>
        </w:rPr>
        <w:drawing>
          <wp:inline distT="0" distB="0" distL="0" distR="0" wp14:anchorId="70CF63D5" wp14:editId="5F35E713">
            <wp:extent cx="4619625" cy="2628900"/>
            <wp:effectExtent l="0" t="0" r="0" b="0"/>
            <wp:docPr id="52" name="Диаграмма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7D5972" w:rsidRPr="003D5038" w:rsidRDefault="007D5972" w:rsidP="007D5972">
      <w:pPr>
        <w:spacing w:after="120" w:line="240" w:lineRule="auto"/>
        <w:jc w:val="center"/>
        <w:rPr>
          <w:rFonts w:ascii="Georgia" w:hAnsi="Georgia"/>
          <w:b/>
          <w:bCs/>
          <w:noProof/>
          <w:sz w:val="24"/>
          <w:szCs w:val="24"/>
        </w:rPr>
      </w:pPr>
      <w:r w:rsidRPr="003D5038">
        <w:rPr>
          <w:rFonts w:ascii="Georgia" w:hAnsi="Georgia"/>
          <w:b/>
          <w:bCs/>
          <w:noProof/>
          <w:sz w:val="24"/>
          <w:szCs w:val="24"/>
        </w:rPr>
        <w:t>Структура вложений в ценные бумаги, млн. руб.</w:t>
      </w:r>
    </w:p>
    <w:p w:rsidR="005E127E" w:rsidRDefault="005E127E" w:rsidP="007D5972">
      <w:pPr>
        <w:keepNext/>
        <w:spacing w:after="120" w:line="240" w:lineRule="auto"/>
        <w:jc w:val="both"/>
        <w:rPr>
          <w:rFonts w:ascii="Georgia" w:hAnsi="Georgia"/>
          <w:b/>
          <w:i/>
          <w:color w:val="365F91" w:themeColor="accent1" w:themeShade="BF"/>
          <w:sz w:val="28"/>
          <w:szCs w:val="24"/>
        </w:rPr>
      </w:pPr>
    </w:p>
    <w:p w:rsidR="007D5972" w:rsidRPr="003D5038" w:rsidRDefault="007D5972" w:rsidP="007D5972">
      <w:pPr>
        <w:keepNext/>
        <w:spacing w:after="120" w:line="240" w:lineRule="auto"/>
        <w:jc w:val="both"/>
        <w:rPr>
          <w:rFonts w:ascii="Georgia" w:hAnsi="Georgia"/>
          <w:b/>
          <w:i/>
          <w:color w:val="365F91" w:themeColor="accent1" w:themeShade="BF"/>
          <w:sz w:val="28"/>
          <w:szCs w:val="24"/>
        </w:rPr>
      </w:pPr>
      <w:r w:rsidRPr="003D5038">
        <w:rPr>
          <w:rFonts w:ascii="Georgia" w:hAnsi="Georgia"/>
          <w:b/>
          <w:i/>
          <w:color w:val="365F91" w:themeColor="accent1" w:themeShade="BF"/>
          <w:sz w:val="28"/>
          <w:szCs w:val="24"/>
        </w:rPr>
        <w:t>Обязательства</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Значимым источником расширения ресурсной базы инвестиционного блока в рассматриваемый период были </w:t>
      </w:r>
      <w:r w:rsidRPr="003D5038">
        <w:rPr>
          <w:rFonts w:ascii="Georgia" w:hAnsi="Georgia"/>
          <w:b/>
          <w:i/>
          <w:sz w:val="24"/>
          <w:szCs w:val="24"/>
        </w:rPr>
        <w:t>межбанковские займы</w:t>
      </w:r>
      <w:r w:rsidRPr="003D5038">
        <w:rPr>
          <w:rFonts w:ascii="Georgia" w:hAnsi="Georgia"/>
          <w:sz w:val="24"/>
          <w:szCs w:val="24"/>
        </w:rPr>
        <w:t>: объем за 2015 год составил 685 млн., при этом доля в обязательствах за 2015 год уменьшилась с 76,1 до 41,4% к началу 2016.</w:t>
      </w:r>
    </w:p>
    <w:p w:rsidR="007D5972" w:rsidRPr="003D5038" w:rsidRDefault="007D5972" w:rsidP="007D5972">
      <w:pPr>
        <w:spacing w:after="120" w:line="240" w:lineRule="auto"/>
        <w:jc w:val="both"/>
        <w:rPr>
          <w:rFonts w:ascii="Cambria" w:hAnsi="Cambria"/>
          <w:noProof/>
          <w:color w:val="00B050"/>
          <w:sz w:val="20"/>
          <w:szCs w:val="20"/>
        </w:rPr>
      </w:pPr>
      <w:r w:rsidRPr="003D5038">
        <w:rPr>
          <w:noProof/>
        </w:rPr>
        <w:drawing>
          <wp:inline distT="0" distB="0" distL="0" distR="0" wp14:anchorId="31EEB81E" wp14:editId="2E1A262D">
            <wp:extent cx="4922874" cy="2466753"/>
            <wp:effectExtent l="0" t="0" r="0" b="0"/>
            <wp:docPr id="68" name="Диаграмма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7D5972" w:rsidRPr="003D5038" w:rsidRDefault="007D5972" w:rsidP="007D5972">
      <w:pPr>
        <w:spacing w:after="120" w:line="240" w:lineRule="auto"/>
        <w:jc w:val="center"/>
        <w:rPr>
          <w:rFonts w:ascii="Georgia" w:hAnsi="Georgia"/>
          <w:b/>
          <w:bCs/>
          <w:noProof/>
          <w:sz w:val="24"/>
          <w:szCs w:val="24"/>
        </w:rPr>
      </w:pPr>
      <w:r w:rsidRPr="003D5038">
        <w:rPr>
          <w:rFonts w:ascii="Georgia" w:hAnsi="Georgia"/>
          <w:b/>
          <w:bCs/>
          <w:noProof/>
          <w:sz w:val="24"/>
          <w:szCs w:val="24"/>
        </w:rPr>
        <w:t>Динамика обязательств инвестиционного бизнеса, млн. руб.</w:t>
      </w:r>
    </w:p>
    <w:p w:rsidR="007D5972" w:rsidRPr="003D5038" w:rsidRDefault="007D5972" w:rsidP="007D5972">
      <w:pPr>
        <w:spacing w:after="120" w:line="240" w:lineRule="auto"/>
        <w:jc w:val="both"/>
        <w:rPr>
          <w:rFonts w:ascii="Georgia" w:hAnsi="Georgia"/>
          <w:noProof/>
          <w:color w:val="00B050"/>
          <w:sz w:val="24"/>
          <w:szCs w:val="24"/>
        </w:rPr>
      </w:pPr>
      <w:r w:rsidRPr="003D5038">
        <w:rPr>
          <w:rFonts w:ascii="Georgia" w:hAnsi="Georgia"/>
          <w:noProof/>
          <w:color w:val="00B050"/>
          <w:sz w:val="12"/>
          <w:szCs w:val="12"/>
        </w:rPr>
        <w:t xml:space="preserve"> </w:t>
      </w:r>
    </w:p>
    <w:p w:rsidR="00961F0F" w:rsidRDefault="00961F0F" w:rsidP="007D5972">
      <w:pPr>
        <w:spacing w:after="120" w:line="240" w:lineRule="auto"/>
        <w:jc w:val="both"/>
        <w:rPr>
          <w:rFonts w:ascii="Georgia" w:hAnsi="Georgia"/>
          <w:sz w:val="20"/>
          <w:szCs w:val="20"/>
        </w:rPr>
      </w:pPr>
    </w:p>
    <w:p w:rsidR="005E127E" w:rsidRDefault="005E127E" w:rsidP="007D5972">
      <w:pPr>
        <w:spacing w:after="120" w:line="240" w:lineRule="auto"/>
        <w:jc w:val="both"/>
        <w:rPr>
          <w:rFonts w:ascii="Georgia" w:hAnsi="Georgia"/>
          <w:sz w:val="20"/>
          <w:szCs w:val="20"/>
        </w:rPr>
      </w:pPr>
    </w:p>
    <w:p w:rsidR="005E127E" w:rsidRDefault="005E127E" w:rsidP="007D5972">
      <w:pPr>
        <w:spacing w:after="120" w:line="240" w:lineRule="auto"/>
        <w:jc w:val="both"/>
        <w:rPr>
          <w:rFonts w:ascii="Georgia" w:hAnsi="Georgia"/>
          <w:sz w:val="20"/>
          <w:szCs w:val="20"/>
        </w:rPr>
      </w:pP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На конец 2015 года на долю кредитов Банка России, предоставленных по </w:t>
      </w:r>
      <w:r w:rsidRPr="003D5038">
        <w:rPr>
          <w:rFonts w:ascii="Georgia" w:hAnsi="Georgia"/>
          <w:b/>
          <w:i/>
          <w:sz w:val="24"/>
          <w:szCs w:val="24"/>
        </w:rPr>
        <w:t>операциям РЕПО</w:t>
      </w:r>
      <w:r w:rsidRPr="003D5038">
        <w:rPr>
          <w:rFonts w:ascii="Georgia" w:hAnsi="Georgia"/>
          <w:sz w:val="24"/>
          <w:szCs w:val="24"/>
        </w:rPr>
        <w:t>, приходилось 27,9% обязательств инвестиционного бизнеса или 461 млн. рублей. Операции РЕПО в 2015 году являлись основными операциями Банка России по предоставлению ликвидности банковскому сектору, данный показатель свидетельствует о доверии к Банку со стороны Банка России.</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В 2015 году высокий темп роста в структуре пассивов инвестиционного блока отмечено по статье </w:t>
      </w:r>
      <w:r w:rsidRPr="003D5038">
        <w:rPr>
          <w:rFonts w:ascii="Georgia" w:hAnsi="Georgia"/>
          <w:b/>
          <w:sz w:val="24"/>
          <w:szCs w:val="24"/>
        </w:rPr>
        <w:t>«Корреспондентские счета «Лоро»:</w:t>
      </w:r>
      <w:r w:rsidRPr="003D5038">
        <w:rPr>
          <w:rFonts w:ascii="Georgia" w:hAnsi="Georgia"/>
          <w:sz w:val="24"/>
          <w:szCs w:val="24"/>
        </w:rPr>
        <w:t xml:space="preserve"> объем средств на конец 2015 года составил 201 млн. руб., </w:t>
      </w:r>
      <w:r>
        <w:rPr>
          <w:rFonts w:ascii="Georgia" w:hAnsi="Georgia"/>
          <w:sz w:val="24"/>
          <w:szCs w:val="24"/>
        </w:rPr>
        <w:t xml:space="preserve">при этом доля </w:t>
      </w:r>
      <w:r w:rsidRPr="003D5038">
        <w:rPr>
          <w:rFonts w:ascii="Georgia" w:hAnsi="Georgia"/>
          <w:sz w:val="24"/>
          <w:szCs w:val="24"/>
        </w:rPr>
        <w:t>в  обяза</w:t>
      </w:r>
      <w:r>
        <w:rPr>
          <w:rFonts w:ascii="Georgia" w:hAnsi="Georgia"/>
          <w:sz w:val="24"/>
          <w:szCs w:val="24"/>
        </w:rPr>
        <w:t xml:space="preserve">тельствах инвестиционного блока - </w:t>
      </w:r>
      <w:r w:rsidRPr="003D5038">
        <w:rPr>
          <w:rFonts w:ascii="Georgia" w:hAnsi="Georgia"/>
          <w:sz w:val="24"/>
          <w:szCs w:val="24"/>
        </w:rPr>
        <w:t>12,2%</w:t>
      </w:r>
      <w:r>
        <w:rPr>
          <w:rFonts w:ascii="Georgia" w:hAnsi="Georgia"/>
          <w:sz w:val="24"/>
          <w:szCs w:val="24"/>
        </w:rPr>
        <w:t>.</w:t>
      </w:r>
      <w:r w:rsidRPr="003D5038">
        <w:rPr>
          <w:rFonts w:ascii="Georgia" w:hAnsi="Georgia"/>
          <w:sz w:val="24"/>
          <w:szCs w:val="24"/>
        </w:rPr>
        <w:t xml:space="preserve"> </w:t>
      </w:r>
    </w:p>
    <w:p w:rsidR="007D5972" w:rsidRPr="003D5038" w:rsidRDefault="007D5972" w:rsidP="007D5972">
      <w:pPr>
        <w:spacing w:after="120" w:line="240" w:lineRule="auto"/>
        <w:jc w:val="both"/>
        <w:rPr>
          <w:rFonts w:ascii="Georgia" w:hAnsi="Georgia"/>
          <w:sz w:val="24"/>
          <w:szCs w:val="24"/>
        </w:rPr>
      </w:pPr>
      <w:r w:rsidRPr="003D5038">
        <w:rPr>
          <w:rFonts w:ascii="Georgia" w:hAnsi="Georgia"/>
          <w:sz w:val="24"/>
          <w:szCs w:val="24"/>
        </w:rPr>
        <w:t xml:space="preserve">Объем ресурсов, привлеченных Банком посредством выпуска </w:t>
      </w:r>
      <w:r w:rsidRPr="003D5038">
        <w:rPr>
          <w:rFonts w:ascii="Georgia" w:hAnsi="Georgia"/>
          <w:b/>
          <w:i/>
          <w:sz w:val="24"/>
          <w:szCs w:val="24"/>
        </w:rPr>
        <w:t xml:space="preserve">долговых обязательств </w:t>
      </w:r>
      <w:r w:rsidRPr="003D5038">
        <w:rPr>
          <w:rFonts w:ascii="Georgia" w:hAnsi="Georgia"/>
          <w:sz w:val="24"/>
          <w:szCs w:val="24"/>
        </w:rPr>
        <w:t xml:space="preserve">(собственные векселя и сберегательные сертификаты), увеличился за 2015 год на </w:t>
      </w:r>
      <w:r w:rsidR="00374BD0">
        <w:rPr>
          <w:rFonts w:ascii="Georgia" w:hAnsi="Georgia"/>
          <w:sz w:val="24"/>
          <w:szCs w:val="24"/>
        </w:rPr>
        <w:t>288 млн. рублей (</w:t>
      </w:r>
      <w:r w:rsidRPr="003D5038">
        <w:rPr>
          <w:rFonts w:ascii="Georgia" w:hAnsi="Georgia"/>
          <w:sz w:val="24"/>
          <w:szCs w:val="24"/>
        </w:rPr>
        <w:t>до 307 млн. рублей</w:t>
      </w:r>
      <w:r w:rsidR="00374BD0">
        <w:rPr>
          <w:rFonts w:ascii="Georgia" w:hAnsi="Georgia"/>
          <w:sz w:val="24"/>
          <w:szCs w:val="24"/>
        </w:rPr>
        <w:t>)</w:t>
      </w:r>
      <w:r w:rsidRPr="003D5038">
        <w:rPr>
          <w:rFonts w:ascii="Georgia" w:hAnsi="Georgia"/>
          <w:sz w:val="24"/>
          <w:szCs w:val="24"/>
        </w:rPr>
        <w:t>, доля этого источника в обязательствах инвестиционного бизнеса на конец года составила 18,6%.</w:t>
      </w:r>
    </w:p>
    <w:p w:rsidR="007D5972" w:rsidRPr="003D5038" w:rsidRDefault="007D5972" w:rsidP="007D5972">
      <w:pPr>
        <w:spacing w:after="0" w:line="240" w:lineRule="auto"/>
        <w:rPr>
          <w:rFonts w:ascii="Cambria" w:hAnsi="Cambria"/>
          <w:noProof/>
          <w:color w:val="00B050"/>
          <w:sz w:val="20"/>
          <w:szCs w:val="20"/>
        </w:rPr>
      </w:pPr>
      <w:r w:rsidRPr="003D5038">
        <w:rPr>
          <w:rFonts w:ascii="Cambria" w:hAnsi="Cambria"/>
          <w:noProof/>
          <w:color w:val="00B050"/>
          <w:sz w:val="20"/>
          <w:szCs w:val="20"/>
        </w:rPr>
        <w:br w:type="page"/>
      </w:r>
    </w:p>
    <w:p w:rsidR="00B11AC7" w:rsidRDefault="00B11AC7" w:rsidP="00B11AC7">
      <w:pPr>
        <w:spacing w:after="0" w:line="240" w:lineRule="auto"/>
        <w:rPr>
          <w:rFonts w:asciiTheme="majorHAnsi" w:eastAsiaTheme="majorEastAsia" w:hAnsiTheme="majorHAnsi" w:cstheme="majorBidi"/>
          <w:b/>
          <w:bCs/>
          <w:noProof/>
          <w:color w:val="00B050"/>
          <w:sz w:val="20"/>
          <w:szCs w:val="20"/>
        </w:rPr>
      </w:pPr>
    </w:p>
    <w:p w:rsidR="007D5972" w:rsidRPr="003A3768" w:rsidRDefault="007D5972" w:rsidP="007D5972">
      <w:pPr>
        <w:pStyle w:val="2"/>
        <w:spacing w:before="0" w:line="240" w:lineRule="auto"/>
        <w:rPr>
          <w:noProof/>
          <w:color w:val="00B050"/>
          <w:sz w:val="40"/>
          <w:szCs w:val="40"/>
        </w:rPr>
      </w:pPr>
      <w:bookmarkStart w:id="46" w:name="_Toc448145473"/>
      <w:r w:rsidRPr="003A3768">
        <w:rPr>
          <w:noProof/>
          <w:color w:val="00B050"/>
          <w:sz w:val="40"/>
          <w:szCs w:val="40"/>
        </w:rPr>
        <w:t>Обзор финансовых результатов</w:t>
      </w:r>
      <w:bookmarkEnd w:id="46"/>
    </w:p>
    <w:p w:rsidR="007D5972" w:rsidRDefault="007D5972" w:rsidP="007D5972">
      <w:pPr>
        <w:spacing w:after="0" w:line="240" w:lineRule="auto"/>
        <w:rPr>
          <w:rFonts w:asciiTheme="majorHAnsi" w:eastAsiaTheme="majorEastAsia" w:hAnsiTheme="majorHAnsi" w:cstheme="majorBidi"/>
          <w:b/>
          <w:bCs/>
          <w:noProof/>
          <w:color w:val="00B050"/>
          <w:sz w:val="20"/>
          <w:szCs w:val="20"/>
        </w:rPr>
      </w:pPr>
    </w:p>
    <w:p w:rsidR="007D5972" w:rsidRPr="00C82213" w:rsidRDefault="007D5972" w:rsidP="007D5972">
      <w:pPr>
        <w:spacing w:after="120" w:line="240" w:lineRule="auto"/>
        <w:jc w:val="both"/>
        <w:rPr>
          <w:rFonts w:ascii="Georgia" w:hAnsi="Georgia"/>
          <w:b/>
          <w:i/>
          <w:color w:val="365F91" w:themeColor="accent1" w:themeShade="BF"/>
          <w:sz w:val="28"/>
          <w:szCs w:val="24"/>
        </w:rPr>
      </w:pPr>
      <w:r w:rsidRPr="00C82213">
        <w:rPr>
          <w:rFonts w:ascii="Georgia" w:hAnsi="Georgia"/>
          <w:b/>
          <w:i/>
          <w:color w:val="365F91" w:themeColor="accent1" w:themeShade="BF"/>
          <w:sz w:val="28"/>
          <w:szCs w:val="24"/>
        </w:rPr>
        <w:t>Доходы</w:t>
      </w:r>
    </w:p>
    <w:p w:rsidR="007D5972" w:rsidRPr="00C82213" w:rsidRDefault="007D5972" w:rsidP="005E127E">
      <w:pPr>
        <w:spacing w:after="120" w:line="240" w:lineRule="auto"/>
        <w:jc w:val="both"/>
        <w:rPr>
          <w:rFonts w:ascii="Georgia" w:hAnsi="Georgia"/>
          <w:sz w:val="24"/>
          <w:szCs w:val="24"/>
        </w:rPr>
      </w:pPr>
      <w:r w:rsidRPr="00C82213">
        <w:rPr>
          <w:rFonts w:ascii="Georgia" w:hAnsi="Georgia"/>
          <w:sz w:val="24"/>
          <w:szCs w:val="24"/>
        </w:rPr>
        <w:t>За 201</w:t>
      </w:r>
      <w:r w:rsidRPr="00672930">
        <w:rPr>
          <w:rFonts w:ascii="Georgia" w:hAnsi="Georgia"/>
          <w:sz w:val="24"/>
          <w:szCs w:val="24"/>
        </w:rPr>
        <w:t>5</w:t>
      </w:r>
      <w:r w:rsidRPr="00C82213">
        <w:rPr>
          <w:rFonts w:ascii="Georgia" w:hAnsi="Georgia"/>
          <w:sz w:val="24"/>
          <w:szCs w:val="24"/>
        </w:rPr>
        <w:t xml:space="preserve"> год Банком получены доходы в сумме </w:t>
      </w:r>
      <w:r w:rsidRPr="00672930">
        <w:rPr>
          <w:rFonts w:ascii="Georgia" w:hAnsi="Georgia"/>
          <w:sz w:val="24"/>
          <w:szCs w:val="24"/>
        </w:rPr>
        <w:t>4 258</w:t>
      </w:r>
      <w:r w:rsidRPr="00C82213">
        <w:rPr>
          <w:rFonts w:ascii="Georgia" w:hAnsi="Georgia"/>
          <w:sz w:val="24"/>
          <w:szCs w:val="24"/>
        </w:rPr>
        <w:t xml:space="preserve"> млн. рублей, рост суммы доходов по сравнению с аналогичным показателем в 201</w:t>
      </w:r>
      <w:r w:rsidRPr="00672930">
        <w:rPr>
          <w:rFonts w:ascii="Georgia" w:hAnsi="Georgia"/>
          <w:sz w:val="24"/>
          <w:szCs w:val="24"/>
        </w:rPr>
        <w:t>4</w:t>
      </w:r>
      <w:r w:rsidRPr="00C82213">
        <w:rPr>
          <w:rFonts w:ascii="Georgia" w:hAnsi="Georgia"/>
          <w:sz w:val="24"/>
          <w:szCs w:val="24"/>
        </w:rPr>
        <w:t xml:space="preserve"> году составил </w:t>
      </w:r>
      <w:r w:rsidRPr="00672930">
        <w:rPr>
          <w:rFonts w:ascii="Georgia" w:hAnsi="Georgia"/>
          <w:sz w:val="24"/>
          <w:szCs w:val="24"/>
        </w:rPr>
        <w:t>62</w:t>
      </w:r>
      <w:r>
        <w:rPr>
          <w:rFonts w:ascii="Georgia" w:hAnsi="Georgia"/>
          <w:sz w:val="24"/>
          <w:szCs w:val="24"/>
        </w:rPr>
        <w:t>,</w:t>
      </w:r>
      <w:r w:rsidRPr="00672930">
        <w:rPr>
          <w:rFonts w:ascii="Georgia" w:hAnsi="Georgia"/>
          <w:sz w:val="24"/>
          <w:szCs w:val="24"/>
        </w:rPr>
        <w:t>6</w:t>
      </w:r>
      <w:r w:rsidRPr="00C82213">
        <w:rPr>
          <w:rFonts w:ascii="Georgia" w:hAnsi="Georgia"/>
          <w:sz w:val="24"/>
          <w:szCs w:val="24"/>
        </w:rPr>
        <w:t>%. Основными источниками доходов Банка являются процентные поступления от размещения денежных средств.</w:t>
      </w:r>
    </w:p>
    <w:p w:rsidR="007D5972" w:rsidRPr="00C82213" w:rsidRDefault="007D5972" w:rsidP="005E127E">
      <w:pPr>
        <w:spacing w:after="120" w:line="240" w:lineRule="auto"/>
        <w:jc w:val="both"/>
        <w:rPr>
          <w:rFonts w:ascii="Georgia" w:hAnsi="Georgia"/>
          <w:sz w:val="24"/>
          <w:szCs w:val="24"/>
        </w:rPr>
      </w:pPr>
      <w:r w:rsidRPr="00C82213">
        <w:rPr>
          <w:rFonts w:ascii="Georgia" w:hAnsi="Georgia"/>
          <w:sz w:val="24"/>
          <w:szCs w:val="24"/>
        </w:rPr>
        <w:t>Наибольшую часть всех доходов Банка в 201</w:t>
      </w:r>
      <w:r>
        <w:rPr>
          <w:rFonts w:ascii="Georgia" w:hAnsi="Georgia"/>
          <w:sz w:val="24"/>
          <w:szCs w:val="24"/>
        </w:rPr>
        <w:t>5</w:t>
      </w:r>
      <w:r w:rsidRPr="00C82213">
        <w:rPr>
          <w:rFonts w:ascii="Georgia" w:hAnsi="Georgia"/>
          <w:sz w:val="24"/>
          <w:szCs w:val="24"/>
        </w:rPr>
        <w:t xml:space="preserve"> году составляют:</w:t>
      </w:r>
    </w:p>
    <w:p w:rsidR="007D5972" w:rsidRPr="00C82213" w:rsidRDefault="007D5972" w:rsidP="005E127E">
      <w:pPr>
        <w:numPr>
          <w:ilvl w:val="0"/>
          <w:numId w:val="7"/>
        </w:numPr>
        <w:tabs>
          <w:tab w:val="clear" w:pos="1440"/>
          <w:tab w:val="num" w:pos="284"/>
        </w:tabs>
        <w:spacing w:after="120" w:line="240" w:lineRule="auto"/>
        <w:ind w:left="0" w:firstLine="0"/>
        <w:jc w:val="both"/>
        <w:rPr>
          <w:rFonts w:ascii="Georgia" w:hAnsi="Georgia"/>
          <w:sz w:val="24"/>
          <w:szCs w:val="24"/>
        </w:rPr>
      </w:pPr>
      <w:r w:rsidRPr="00C82213">
        <w:rPr>
          <w:rFonts w:ascii="Georgia" w:hAnsi="Georgia"/>
          <w:b/>
          <w:i/>
          <w:sz w:val="24"/>
          <w:szCs w:val="24"/>
        </w:rPr>
        <w:t>процентные доходы</w:t>
      </w:r>
      <w:r w:rsidRPr="00C82213">
        <w:rPr>
          <w:rFonts w:ascii="Georgia" w:hAnsi="Georgia"/>
          <w:sz w:val="24"/>
          <w:szCs w:val="24"/>
        </w:rPr>
        <w:t xml:space="preserve">, которые составили </w:t>
      </w:r>
      <w:r>
        <w:rPr>
          <w:rFonts w:ascii="Georgia" w:hAnsi="Georgia"/>
          <w:sz w:val="24"/>
          <w:szCs w:val="24"/>
        </w:rPr>
        <w:t>3,7</w:t>
      </w:r>
      <w:r w:rsidRPr="00C82213">
        <w:rPr>
          <w:rFonts w:ascii="Georgia" w:hAnsi="Georgia"/>
          <w:sz w:val="24"/>
          <w:szCs w:val="24"/>
        </w:rPr>
        <w:t xml:space="preserve"> мл</w:t>
      </w:r>
      <w:r>
        <w:rPr>
          <w:rFonts w:ascii="Georgia" w:hAnsi="Georgia"/>
          <w:sz w:val="24"/>
          <w:szCs w:val="24"/>
        </w:rPr>
        <w:t>рд</w:t>
      </w:r>
      <w:r w:rsidRPr="00C82213">
        <w:rPr>
          <w:rFonts w:ascii="Georgia" w:hAnsi="Georgia"/>
          <w:sz w:val="24"/>
          <w:szCs w:val="24"/>
        </w:rPr>
        <w:t>. рублей, увеличившись по сравнению с 201</w:t>
      </w:r>
      <w:r>
        <w:rPr>
          <w:rFonts w:ascii="Georgia" w:hAnsi="Georgia"/>
          <w:sz w:val="24"/>
          <w:szCs w:val="24"/>
        </w:rPr>
        <w:t>4</w:t>
      </w:r>
      <w:r w:rsidRPr="00C82213">
        <w:rPr>
          <w:rFonts w:ascii="Georgia" w:hAnsi="Georgia"/>
          <w:sz w:val="24"/>
          <w:szCs w:val="24"/>
        </w:rPr>
        <w:t xml:space="preserve"> годом на </w:t>
      </w:r>
      <w:r>
        <w:rPr>
          <w:rFonts w:ascii="Georgia" w:hAnsi="Georgia"/>
          <w:sz w:val="24"/>
          <w:szCs w:val="24"/>
        </w:rPr>
        <w:t>1 575</w:t>
      </w:r>
      <w:r w:rsidRPr="00C82213">
        <w:rPr>
          <w:rFonts w:ascii="Georgia" w:hAnsi="Georgia"/>
          <w:sz w:val="24"/>
          <w:szCs w:val="24"/>
        </w:rPr>
        <w:t xml:space="preserve"> млн. рублей или на </w:t>
      </w:r>
      <w:r>
        <w:rPr>
          <w:rFonts w:ascii="Georgia" w:hAnsi="Georgia"/>
          <w:sz w:val="24"/>
          <w:szCs w:val="24"/>
        </w:rPr>
        <w:t>72,9</w:t>
      </w:r>
      <w:r w:rsidRPr="00C82213">
        <w:rPr>
          <w:rFonts w:ascii="Georgia" w:hAnsi="Georgia"/>
          <w:sz w:val="24"/>
          <w:szCs w:val="24"/>
        </w:rPr>
        <w:t>%;</w:t>
      </w:r>
    </w:p>
    <w:p w:rsidR="007D5972" w:rsidRDefault="007D5972" w:rsidP="005E127E">
      <w:pPr>
        <w:numPr>
          <w:ilvl w:val="0"/>
          <w:numId w:val="7"/>
        </w:numPr>
        <w:tabs>
          <w:tab w:val="clear" w:pos="1440"/>
          <w:tab w:val="num" w:pos="284"/>
        </w:tabs>
        <w:spacing w:after="120" w:line="240" w:lineRule="auto"/>
        <w:ind w:left="0" w:firstLine="0"/>
        <w:jc w:val="both"/>
        <w:rPr>
          <w:rFonts w:ascii="Georgia" w:hAnsi="Georgia"/>
          <w:sz w:val="24"/>
          <w:szCs w:val="24"/>
        </w:rPr>
      </w:pPr>
      <w:r>
        <w:rPr>
          <w:rFonts w:ascii="Georgia" w:hAnsi="Georgia"/>
          <w:b/>
          <w:i/>
          <w:sz w:val="24"/>
          <w:szCs w:val="24"/>
        </w:rPr>
        <w:t xml:space="preserve">чистые </w:t>
      </w:r>
      <w:r w:rsidRPr="00C82213">
        <w:rPr>
          <w:rFonts w:ascii="Georgia" w:hAnsi="Georgia"/>
          <w:b/>
          <w:i/>
          <w:sz w:val="24"/>
          <w:szCs w:val="24"/>
        </w:rPr>
        <w:t>доходы от операций с ценными бумагами</w:t>
      </w:r>
      <w:r w:rsidRPr="00C82213">
        <w:rPr>
          <w:rFonts w:ascii="Georgia" w:hAnsi="Georgia"/>
          <w:sz w:val="24"/>
          <w:szCs w:val="24"/>
        </w:rPr>
        <w:t xml:space="preserve"> составили </w:t>
      </w:r>
      <w:r>
        <w:rPr>
          <w:rFonts w:ascii="Georgia" w:hAnsi="Georgia"/>
          <w:sz w:val="24"/>
          <w:szCs w:val="24"/>
        </w:rPr>
        <w:t>141</w:t>
      </w:r>
      <w:r w:rsidRPr="00C82213">
        <w:rPr>
          <w:rFonts w:ascii="Georgia" w:hAnsi="Georgia"/>
          <w:sz w:val="24"/>
          <w:szCs w:val="24"/>
        </w:rPr>
        <w:t xml:space="preserve"> млн. рублей. Их значительный объем приходится на доходы по долговым и долевым ценным бумагам юридических лиц</w:t>
      </w:r>
      <w:r>
        <w:rPr>
          <w:rFonts w:ascii="Georgia" w:hAnsi="Georgia"/>
          <w:sz w:val="24"/>
          <w:szCs w:val="24"/>
        </w:rPr>
        <w:t>. За 2015 год наблюдался значительный рост данных доходов на 83,1%</w:t>
      </w:r>
      <w:r w:rsidRPr="00C82213">
        <w:rPr>
          <w:rFonts w:ascii="Georgia" w:hAnsi="Georgia"/>
          <w:sz w:val="24"/>
          <w:szCs w:val="24"/>
        </w:rPr>
        <w:t>;</w:t>
      </w:r>
    </w:p>
    <w:p w:rsidR="007D5972" w:rsidRDefault="007D5972" w:rsidP="005E127E">
      <w:pPr>
        <w:numPr>
          <w:ilvl w:val="0"/>
          <w:numId w:val="7"/>
        </w:numPr>
        <w:tabs>
          <w:tab w:val="clear" w:pos="1440"/>
          <w:tab w:val="num" w:pos="284"/>
        </w:tabs>
        <w:spacing w:after="120" w:line="240" w:lineRule="auto"/>
        <w:ind w:left="0" w:firstLine="0"/>
        <w:jc w:val="both"/>
        <w:rPr>
          <w:rFonts w:ascii="Georgia" w:hAnsi="Georgia"/>
          <w:sz w:val="24"/>
          <w:szCs w:val="24"/>
        </w:rPr>
      </w:pPr>
      <w:r w:rsidRPr="00C82213">
        <w:rPr>
          <w:rFonts w:ascii="Georgia" w:hAnsi="Georgia"/>
          <w:sz w:val="24"/>
          <w:szCs w:val="24"/>
        </w:rPr>
        <w:t xml:space="preserve">сумма </w:t>
      </w:r>
      <w:r w:rsidRPr="00C82213">
        <w:rPr>
          <w:rFonts w:ascii="Georgia" w:hAnsi="Georgia"/>
          <w:b/>
          <w:i/>
          <w:sz w:val="24"/>
          <w:szCs w:val="24"/>
        </w:rPr>
        <w:t>комиссионных</w:t>
      </w:r>
      <w:r>
        <w:rPr>
          <w:rFonts w:ascii="Georgia" w:hAnsi="Georgia"/>
          <w:b/>
          <w:i/>
          <w:sz w:val="24"/>
          <w:szCs w:val="24"/>
        </w:rPr>
        <w:t xml:space="preserve"> доходов</w:t>
      </w:r>
      <w:r w:rsidRPr="00C82213">
        <w:rPr>
          <w:rFonts w:ascii="Georgia" w:hAnsi="Georgia"/>
          <w:sz w:val="24"/>
          <w:szCs w:val="24"/>
        </w:rPr>
        <w:t>, полученных за 201</w:t>
      </w:r>
      <w:r>
        <w:rPr>
          <w:rFonts w:ascii="Georgia" w:hAnsi="Georgia"/>
          <w:sz w:val="24"/>
          <w:szCs w:val="24"/>
        </w:rPr>
        <w:t>5</w:t>
      </w:r>
      <w:r w:rsidRPr="00C82213">
        <w:rPr>
          <w:rFonts w:ascii="Georgia" w:hAnsi="Georgia"/>
          <w:sz w:val="24"/>
          <w:szCs w:val="24"/>
        </w:rPr>
        <w:t xml:space="preserve"> год, составила </w:t>
      </w:r>
      <w:r>
        <w:rPr>
          <w:rFonts w:ascii="Georgia" w:hAnsi="Georgia"/>
          <w:sz w:val="24"/>
          <w:szCs w:val="24"/>
        </w:rPr>
        <w:t>289</w:t>
      </w:r>
      <w:r w:rsidRPr="00C82213">
        <w:rPr>
          <w:rFonts w:ascii="Georgia" w:hAnsi="Georgia"/>
          <w:sz w:val="24"/>
          <w:szCs w:val="24"/>
        </w:rPr>
        <w:t xml:space="preserve"> млн. рублей (в </w:t>
      </w:r>
      <w:r>
        <w:rPr>
          <w:rFonts w:ascii="Georgia" w:hAnsi="Georgia"/>
          <w:sz w:val="24"/>
          <w:szCs w:val="24"/>
        </w:rPr>
        <w:t xml:space="preserve">2 </w:t>
      </w:r>
      <w:r w:rsidRPr="00C82213">
        <w:rPr>
          <w:rFonts w:ascii="Georgia" w:hAnsi="Georgia"/>
          <w:sz w:val="24"/>
          <w:szCs w:val="24"/>
        </w:rPr>
        <w:t>раза выше аналогичного показателя за 201</w:t>
      </w:r>
      <w:r>
        <w:rPr>
          <w:rFonts w:ascii="Georgia" w:hAnsi="Georgia"/>
          <w:sz w:val="24"/>
          <w:szCs w:val="24"/>
        </w:rPr>
        <w:t>4 год);</w:t>
      </w:r>
    </w:p>
    <w:p w:rsidR="007D5972" w:rsidRDefault="007D5972" w:rsidP="005E127E">
      <w:pPr>
        <w:numPr>
          <w:ilvl w:val="0"/>
          <w:numId w:val="7"/>
        </w:numPr>
        <w:tabs>
          <w:tab w:val="clear" w:pos="1440"/>
          <w:tab w:val="num" w:pos="284"/>
        </w:tabs>
        <w:spacing w:after="120" w:line="240" w:lineRule="auto"/>
        <w:ind w:left="0" w:firstLine="0"/>
        <w:jc w:val="both"/>
        <w:rPr>
          <w:rFonts w:ascii="Georgia" w:hAnsi="Georgia"/>
          <w:sz w:val="24"/>
          <w:szCs w:val="24"/>
        </w:rPr>
      </w:pPr>
      <w:r w:rsidRPr="00472B76">
        <w:rPr>
          <w:rFonts w:ascii="Georgia" w:hAnsi="Georgia"/>
          <w:b/>
          <w:i/>
          <w:sz w:val="24"/>
          <w:szCs w:val="24"/>
        </w:rPr>
        <w:t>прочие операционные доходы</w:t>
      </w:r>
      <w:r>
        <w:rPr>
          <w:rFonts w:ascii="Georgia" w:hAnsi="Georgia"/>
          <w:sz w:val="24"/>
          <w:szCs w:val="24"/>
        </w:rPr>
        <w:t xml:space="preserve"> снизились за 2015 год на 127 млн. рублей и составили на конец года 74 млн. рублей.</w:t>
      </w:r>
      <w:r w:rsidRPr="00C82213">
        <w:rPr>
          <w:rFonts w:ascii="Georgia" w:hAnsi="Georgia"/>
          <w:sz w:val="24"/>
          <w:szCs w:val="24"/>
        </w:rPr>
        <w:t xml:space="preserve"> </w:t>
      </w:r>
    </w:p>
    <w:p w:rsidR="007D5972" w:rsidRDefault="007D5972" w:rsidP="007D5972">
      <w:pPr>
        <w:spacing w:after="120" w:line="240" w:lineRule="auto"/>
        <w:jc w:val="center"/>
        <w:rPr>
          <w:rFonts w:ascii="Georgia" w:hAnsi="Georgia"/>
          <w:sz w:val="24"/>
          <w:szCs w:val="24"/>
        </w:rPr>
      </w:pPr>
      <w:r w:rsidRPr="00672930">
        <w:rPr>
          <w:rFonts w:ascii="Georgia" w:hAnsi="Georgia"/>
          <w:b/>
          <w:noProof/>
        </w:rPr>
        <w:drawing>
          <wp:inline distT="0" distB="0" distL="0" distR="0" wp14:anchorId="3C374691" wp14:editId="2F9B07B0">
            <wp:extent cx="5562600" cy="3595689"/>
            <wp:effectExtent l="0" t="0" r="0" b="508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D5972" w:rsidRPr="00243D42" w:rsidRDefault="007D5972" w:rsidP="007D5972">
      <w:pPr>
        <w:spacing w:after="120" w:line="240" w:lineRule="auto"/>
        <w:jc w:val="center"/>
        <w:rPr>
          <w:rFonts w:ascii="Georgia" w:hAnsi="Georgia"/>
          <w:b/>
          <w:sz w:val="24"/>
          <w:szCs w:val="24"/>
        </w:rPr>
      </w:pPr>
      <w:r w:rsidRPr="00243D42">
        <w:rPr>
          <w:rFonts w:ascii="Georgia" w:hAnsi="Georgia"/>
          <w:b/>
          <w:sz w:val="24"/>
          <w:szCs w:val="24"/>
        </w:rPr>
        <w:t>Динамика и структура доходов</w:t>
      </w:r>
      <w:r>
        <w:rPr>
          <w:rFonts w:ascii="Georgia" w:hAnsi="Georgia"/>
          <w:b/>
          <w:sz w:val="24"/>
          <w:szCs w:val="24"/>
        </w:rPr>
        <w:t>, млн. руб.</w:t>
      </w:r>
    </w:p>
    <w:p w:rsidR="007D5972" w:rsidRPr="00C82213" w:rsidRDefault="007D5972" w:rsidP="007D5972">
      <w:pPr>
        <w:spacing w:after="120" w:line="240" w:lineRule="auto"/>
        <w:jc w:val="both"/>
        <w:rPr>
          <w:rFonts w:ascii="Georgia" w:hAnsi="Georgia"/>
          <w:b/>
          <w:i/>
          <w:color w:val="365F91" w:themeColor="accent1" w:themeShade="BF"/>
          <w:sz w:val="28"/>
          <w:szCs w:val="24"/>
        </w:rPr>
      </w:pPr>
      <w:r>
        <w:rPr>
          <w:rFonts w:ascii="Georgia" w:hAnsi="Georgia"/>
          <w:b/>
          <w:i/>
          <w:color w:val="365F91" w:themeColor="accent1" w:themeShade="BF"/>
          <w:sz w:val="28"/>
          <w:szCs w:val="24"/>
        </w:rPr>
        <w:t>Расходы</w:t>
      </w:r>
    </w:p>
    <w:p w:rsidR="007D5972" w:rsidRDefault="007D5972" w:rsidP="005E127E">
      <w:pPr>
        <w:spacing w:after="120" w:line="240" w:lineRule="auto"/>
        <w:contextualSpacing/>
        <w:jc w:val="both"/>
        <w:rPr>
          <w:rFonts w:ascii="Georgia" w:hAnsi="Georgia"/>
          <w:sz w:val="24"/>
          <w:szCs w:val="24"/>
        </w:rPr>
      </w:pPr>
      <w:r w:rsidRPr="006867A0">
        <w:rPr>
          <w:rFonts w:ascii="Georgia" w:hAnsi="Georgia"/>
          <w:sz w:val="24"/>
          <w:szCs w:val="24"/>
        </w:rPr>
        <w:t xml:space="preserve">В структуре расходов Банка преобладают процентные расходы по привлечению ресурсов, </w:t>
      </w:r>
      <w:r>
        <w:rPr>
          <w:rFonts w:ascii="Georgia" w:hAnsi="Georgia"/>
          <w:sz w:val="24"/>
          <w:szCs w:val="24"/>
        </w:rPr>
        <w:t>комиссионные и операционные расходы</w:t>
      </w:r>
      <w:r w:rsidRPr="006867A0">
        <w:rPr>
          <w:rFonts w:ascii="Georgia" w:hAnsi="Georgia"/>
          <w:sz w:val="24"/>
          <w:szCs w:val="24"/>
        </w:rPr>
        <w:t xml:space="preserve"> и чистый расход от регулирования резервов. </w:t>
      </w:r>
    </w:p>
    <w:p w:rsidR="003A49E4" w:rsidRDefault="007D5972" w:rsidP="005E127E">
      <w:pPr>
        <w:tabs>
          <w:tab w:val="left" w:pos="284"/>
        </w:tabs>
        <w:spacing w:after="120" w:line="240" w:lineRule="auto"/>
        <w:contextualSpacing/>
        <w:jc w:val="both"/>
        <w:rPr>
          <w:rFonts w:ascii="Georgia" w:hAnsi="Georgia"/>
          <w:sz w:val="24"/>
          <w:szCs w:val="24"/>
        </w:rPr>
      </w:pPr>
      <w:r w:rsidRPr="00961F0F">
        <w:rPr>
          <w:rFonts w:ascii="Georgia" w:hAnsi="Georgia"/>
          <w:sz w:val="24"/>
          <w:szCs w:val="24"/>
        </w:rPr>
        <w:t xml:space="preserve">основной причиной роста </w:t>
      </w:r>
      <w:r w:rsidRPr="00961F0F">
        <w:rPr>
          <w:rFonts w:ascii="Georgia" w:hAnsi="Georgia"/>
          <w:b/>
          <w:i/>
          <w:sz w:val="24"/>
          <w:szCs w:val="24"/>
        </w:rPr>
        <w:t>процентных расходов</w:t>
      </w:r>
      <w:r w:rsidRPr="00961F0F">
        <w:rPr>
          <w:rFonts w:ascii="Georgia" w:hAnsi="Georgia"/>
          <w:sz w:val="24"/>
          <w:szCs w:val="24"/>
        </w:rPr>
        <w:t xml:space="preserve"> является увеличение процентных расходов по привлеченным средствам клиентам, которые на </w:t>
      </w:r>
    </w:p>
    <w:p w:rsidR="003A49E4" w:rsidRDefault="003A49E4" w:rsidP="005E127E">
      <w:pPr>
        <w:tabs>
          <w:tab w:val="left" w:pos="284"/>
        </w:tabs>
        <w:spacing w:after="120" w:line="240" w:lineRule="auto"/>
        <w:contextualSpacing/>
        <w:jc w:val="both"/>
        <w:rPr>
          <w:rFonts w:ascii="Georgia" w:hAnsi="Georgia"/>
          <w:sz w:val="20"/>
          <w:szCs w:val="20"/>
        </w:rPr>
      </w:pPr>
    </w:p>
    <w:p w:rsidR="003A49E4" w:rsidRPr="003A49E4" w:rsidRDefault="003A49E4" w:rsidP="005E127E">
      <w:pPr>
        <w:tabs>
          <w:tab w:val="left" w:pos="284"/>
        </w:tabs>
        <w:spacing w:after="120" w:line="240" w:lineRule="auto"/>
        <w:contextualSpacing/>
        <w:jc w:val="both"/>
        <w:rPr>
          <w:rFonts w:ascii="Georgia" w:hAnsi="Georgia"/>
          <w:sz w:val="20"/>
          <w:szCs w:val="20"/>
        </w:rPr>
      </w:pPr>
    </w:p>
    <w:p w:rsidR="007D5972" w:rsidRPr="00961F0F" w:rsidRDefault="007D5972" w:rsidP="005E127E">
      <w:pPr>
        <w:tabs>
          <w:tab w:val="left" w:pos="284"/>
        </w:tabs>
        <w:spacing w:after="120" w:line="240" w:lineRule="auto"/>
        <w:contextualSpacing/>
        <w:jc w:val="both"/>
        <w:rPr>
          <w:rFonts w:ascii="Georgia" w:hAnsi="Georgia"/>
          <w:sz w:val="24"/>
          <w:szCs w:val="24"/>
        </w:rPr>
      </w:pPr>
      <w:r w:rsidRPr="00961F0F">
        <w:rPr>
          <w:rFonts w:ascii="Georgia" w:hAnsi="Georgia"/>
          <w:sz w:val="24"/>
          <w:szCs w:val="24"/>
        </w:rPr>
        <w:t>82,9% превысили аналогичный показатель 2014 года. На них также приходится и  основной удельный вес в процентных расходах - на конец 2015 года они составили 2,5 млрд. рублей или 81% от всей суммы процентных расходов. Следует также отметить и рост расходов по привлеченным средствам кредитных организаций по сравнению с 2014 годом – 98,6% (588,6 млн. рублей против 296,4 млн. рублей)</w:t>
      </w:r>
    </w:p>
    <w:p w:rsidR="007D5972" w:rsidRDefault="007D5972" w:rsidP="005E127E">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снижение</w:t>
      </w:r>
      <w:r w:rsidRPr="009E2C41">
        <w:rPr>
          <w:rFonts w:ascii="Georgia" w:hAnsi="Georgia"/>
          <w:sz w:val="24"/>
          <w:szCs w:val="24"/>
        </w:rPr>
        <w:t xml:space="preserve"> </w:t>
      </w:r>
      <w:r w:rsidRPr="009E2C41">
        <w:rPr>
          <w:rFonts w:ascii="Georgia" w:hAnsi="Georgia"/>
          <w:b/>
          <w:i/>
          <w:sz w:val="24"/>
          <w:szCs w:val="24"/>
        </w:rPr>
        <w:t>комиссионных расходов</w:t>
      </w:r>
      <w:r w:rsidRPr="009E2C41">
        <w:rPr>
          <w:rFonts w:ascii="Georgia" w:hAnsi="Georgia"/>
          <w:sz w:val="24"/>
          <w:szCs w:val="24"/>
        </w:rPr>
        <w:t xml:space="preserve"> за 201</w:t>
      </w:r>
      <w:r>
        <w:rPr>
          <w:rFonts w:ascii="Georgia" w:hAnsi="Georgia"/>
          <w:sz w:val="24"/>
          <w:szCs w:val="24"/>
        </w:rPr>
        <w:t>5</w:t>
      </w:r>
      <w:r w:rsidRPr="009E2C41">
        <w:rPr>
          <w:rFonts w:ascii="Georgia" w:hAnsi="Georgia"/>
          <w:sz w:val="24"/>
          <w:szCs w:val="24"/>
        </w:rPr>
        <w:t xml:space="preserve"> год составил</w:t>
      </w:r>
      <w:r>
        <w:rPr>
          <w:rFonts w:ascii="Georgia" w:hAnsi="Georgia"/>
          <w:sz w:val="24"/>
          <w:szCs w:val="24"/>
        </w:rPr>
        <w:t>о</w:t>
      </w:r>
      <w:r w:rsidRPr="009E2C41">
        <w:rPr>
          <w:rFonts w:ascii="Georgia" w:hAnsi="Georgia"/>
          <w:sz w:val="24"/>
          <w:szCs w:val="24"/>
        </w:rPr>
        <w:t xml:space="preserve"> </w:t>
      </w:r>
      <w:r>
        <w:rPr>
          <w:rFonts w:ascii="Georgia" w:hAnsi="Georgia"/>
          <w:sz w:val="24"/>
          <w:szCs w:val="24"/>
        </w:rPr>
        <w:t>25,6</w:t>
      </w:r>
      <w:r w:rsidRPr="009E2C41">
        <w:rPr>
          <w:rFonts w:ascii="Georgia" w:hAnsi="Georgia"/>
          <w:sz w:val="24"/>
          <w:szCs w:val="24"/>
        </w:rPr>
        <w:t>% или 1</w:t>
      </w:r>
      <w:r>
        <w:rPr>
          <w:rFonts w:ascii="Georgia" w:hAnsi="Georgia"/>
          <w:sz w:val="24"/>
          <w:szCs w:val="24"/>
        </w:rPr>
        <w:t>0</w:t>
      </w:r>
      <w:r w:rsidRPr="009E2C41">
        <w:rPr>
          <w:rFonts w:ascii="Georgia" w:hAnsi="Georgia"/>
          <w:sz w:val="24"/>
          <w:szCs w:val="24"/>
        </w:rPr>
        <w:t xml:space="preserve"> млн. рублей;</w:t>
      </w:r>
    </w:p>
    <w:p w:rsidR="007D5972" w:rsidRPr="00E21D5A" w:rsidRDefault="007D5972" w:rsidP="005E127E">
      <w:pPr>
        <w:pStyle w:val="ae"/>
        <w:numPr>
          <w:ilvl w:val="0"/>
          <w:numId w:val="15"/>
        </w:numPr>
        <w:tabs>
          <w:tab w:val="left" w:pos="284"/>
        </w:tabs>
        <w:spacing w:after="120" w:line="240" w:lineRule="auto"/>
        <w:ind w:left="0" w:firstLine="0"/>
        <w:jc w:val="both"/>
        <w:rPr>
          <w:rFonts w:ascii="Georgia" w:hAnsi="Georgia"/>
          <w:sz w:val="24"/>
          <w:szCs w:val="24"/>
        </w:rPr>
      </w:pPr>
      <w:r w:rsidRPr="00E21D5A">
        <w:rPr>
          <w:rFonts w:ascii="Georgia" w:hAnsi="Georgia"/>
          <w:sz w:val="24"/>
          <w:szCs w:val="24"/>
        </w:rPr>
        <w:t xml:space="preserve">объем </w:t>
      </w:r>
      <w:r w:rsidRPr="00E21D5A">
        <w:rPr>
          <w:rFonts w:ascii="Georgia" w:hAnsi="Georgia"/>
          <w:b/>
          <w:i/>
          <w:sz w:val="24"/>
          <w:szCs w:val="24"/>
        </w:rPr>
        <w:t>чистых расходов от формирования резервов</w:t>
      </w:r>
      <w:r w:rsidRPr="00E21D5A">
        <w:rPr>
          <w:rFonts w:ascii="Georgia" w:hAnsi="Georgia"/>
          <w:sz w:val="24"/>
          <w:szCs w:val="24"/>
        </w:rPr>
        <w:t xml:space="preserve"> на возможные потери (за минусом восстановленных) за 2015 год составил 1 083 млн. рублей (в 2014 году – 20 млн. рублей);</w:t>
      </w:r>
    </w:p>
    <w:p w:rsidR="007D5972" w:rsidRPr="009E2C41" w:rsidRDefault="007D5972" w:rsidP="005E127E">
      <w:pPr>
        <w:pStyle w:val="ae"/>
        <w:numPr>
          <w:ilvl w:val="0"/>
          <w:numId w:val="15"/>
        </w:numPr>
        <w:tabs>
          <w:tab w:val="left" w:pos="284"/>
        </w:tabs>
        <w:spacing w:after="120" w:line="240" w:lineRule="auto"/>
        <w:ind w:left="0" w:firstLine="0"/>
        <w:jc w:val="both"/>
        <w:rPr>
          <w:rFonts w:ascii="Georgia" w:hAnsi="Georgia"/>
          <w:sz w:val="24"/>
          <w:szCs w:val="24"/>
        </w:rPr>
      </w:pPr>
      <w:r w:rsidRPr="009E2C41">
        <w:rPr>
          <w:rFonts w:ascii="Georgia" w:hAnsi="Georgia"/>
          <w:sz w:val="24"/>
          <w:szCs w:val="24"/>
        </w:rPr>
        <w:t>в 201</w:t>
      </w:r>
      <w:r>
        <w:rPr>
          <w:rFonts w:ascii="Georgia" w:hAnsi="Georgia"/>
          <w:sz w:val="24"/>
          <w:szCs w:val="24"/>
        </w:rPr>
        <w:t>5</w:t>
      </w:r>
      <w:r w:rsidRPr="009E2C41">
        <w:rPr>
          <w:rFonts w:ascii="Georgia" w:hAnsi="Georgia"/>
          <w:sz w:val="24"/>
          <w:szCs w:val="24"/>
        </w:rPr>
        <w:t xml:space="preserve"> году расходы, связанные с обеспечением деятельности кредитных организаций или </w:t>
      </w:r>
      <w:r w:rsidRPr="009E2C41">
        <w:rPr>
          <w:rFonts w:ascii="Georgia" w:hAnsi="Georgia"/>
          <w:b/>
          <w:i/>
          <w:sz w:val="24"/>
          <w:szCs w:val="24"/>
        </w:rPr>
        <w:t>прочие операционные расходы</w:t>
      </w:r>
      <w:r w:rsidRPr="009E2C41">
        <w:rPr>
          <w:rFonts w:ascii="Georgia" w:hAnsi="Georgia"/>
          <w:sz w:val="24"/>
          <w:szCs w:val="24"/>
        </w:rPr>
        <w:t xml:space="preserve"> (по форме 807) </w:t>
      </w:r>
      <w:r>
        <w:rPr>
          <w:rFonts w:ascii="Georgia" w:hAnsi="Georgia"/>
          <w:sz w:val="24"/>
          <w:szCs w:val="24"/>
        </w:rPr>
        <w:t>снизились</w:t>
      </w:r>
      <w:r w:rsidRPr="009E2C41">
        <w:rPr>
          <w:rFonts w:ascii="Georgia" w:hAnsi="Georgia"/>
          <w:sz w:val="24"/>
          <w:szCs w:val="24"/>
        </w:rPr>
        <w:t xml:space="preserve"> по отношению к предыдущему году на </w:t>
      </w:r>
      <w:r>
        <w:rPr>
          <w:rFonts w:ascii="Georgia" w:hAnsi="Georgia"/>
          <w:sz w:val="24"/>
          <w:szCs w:val="24"/>
        </w:rPr>
        <w:t>2,6</w:t>
      </w:r>
      <w:r w:rsidRPr="009E2C41">
        <w:rPr>
          <w:rFonts w:ascii="Georgia" w:hAnsi="Georgia"/>
          <w:sz w:val="24"/>
          <w:szCs w:val="24"/>
        </w:rPr>
        <w:t>%;</w:t>
      </w:r>
    </w:p>
    <w:p w:rsidR="007D5972" w:rsidRDefault="007D5972" w:rsidP="007D5972">
      <w:pPr>
        <w:spacing w:after="120" w:line="240" w:lineRule="auto"/>
        <w:jc w:val="center"/>
        <w:rPr>
          <w:rFonts w:ascii="Georgia" w:hAnsi="Georgia"/>
          <w:noProof/>
          <w:sz w:val="24"/>
          <w:szCs w:val="24"/>
        </w:rPr>
      </w:pPr>
      <w:r w:rsidRPr="00335AF3">
        <w:rPr>
          <w:rFonts w:ascii="Georgia" w:hAnsi="Georgia"/>
          <w:b/>
          <w:noProof/>
        </w:rPr>
        <w:drawing>
          <wp:inline distT="0" distB="0" distL="0" distR="0" wp14:anchorId="6982AAB3" wp14:editId="54DB84F8">
            <wp:extent cx="5086350" cy="33909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7D5972" w:rsidRDefault="007D5972" w:rsidP="007D5972">
      <w:pPr>
        <w:spacing w:after="120" w:line="240" w:lineRule="auto"/>
        <w:jc w:val="center"/>
        <w:rPr>
          <w:rFonts w:ascii="Georgia" w:hAnsi="Georgia"/>
          <w:b/>
          <w:sz w:val="24"/>
          <w:szCs w:val="24"/>
        </w:rPr>
      </w:pPr>
      <w:r w:rsidRPr="00462E57">
        <w:rPr>
          <w:rFonts w:ascii="Georgia" w:hAnsi="Georgia"/>
          <w:b/>
          <w:sz w:val="24"/>
          <w:szCs w:val="24"/>
        </w:rPr>
        <w:t>Динамика и структура расходов, млн. рублей</w:t>
      </w:r>
    </w:p>
    <w:p w:rsidR="00A66470" w:rsidRDefault="00A66470" w:rsidP="007D5972">
      <w:pPr>
        <w:spacing w:after="120" w:line="240" w:lineRule="auto"/>
        <w:jc w:val="both"/>
        <w:rPr>
          <w:rFonts w:ascii="Georgia" w:hAnsi="Georgia"/>
          <w:b/>
          <w:i/>
          <w:color w:val="365F91" w:themeColor="accent1" w:themeShade="BF"/>
          <w:sz w:val="28"/>
          <w:szCs w:val="24"/>
        </w:rPr>
      </w:pPr>
    </w:p>
    <w:p w:rsidR="007D5972" w:rsidRPr="00C82213" w:rsidRDefault="007D5972" w:rsidP="007D5972">
      <w:pPr>
        <w:spacing w:after="120" w:line="240" w:lineRule="auto"/>
        <w:jc w:val="both"/>
        <w:rPr>
          <w:rFonts w:ascii="Georgia" w:hAnsi="Georgia"/>
          <w:b/>
          <w:i/>
          <w:color w:val="365F91" w:themeColor="accent1" w:themeShade="BF"/>
          <w:sz w:val="28"/>
          <w:szCs w:val="24"/>
        </w:rPr>
      </w:pPr>
      <w:r>
        <w:rPr>
          <w:rFonts w:ascii="Georgia" w:hAnsi="Georgia"/>
          <w:b/>
          <w:i/>
          <w:color w:val="365F91" w:themeColor="accent1" w:themeShade="BF"/>
          <w:sz w:val="28"/>
          <w:szCs w:val="24"/>
        </w:rPr>
        <w:t>Чистая прибыль</w:t>
      </w:r>
    </w:p>
    <w:p w:rsidR="009A2C34" w:rsidRDefault="007D5972" w:rsidP="005E127E">
      <w:pPr>
        <w:spacing w:after="120" w:line="240" w:lineRule="auto"/>
        <w:contextualSpacing/>
        <w:jc w:val="both"/>
        <w:rPr>
          <w:rFonts w:ascii="Georgia" w:hAnsi="Georgia"/>
          <w:sz w:val="24"/>
          <w:szCs w:val="24"/>
        </w:rPr>
      </w:pPr>
      <w:r w:rsidRPr="002F198C">
        <w:rPr>
          <w:rFonts w:ascii="Georgia" w:hAnsi="Georgia"/>
          <w:sz w:val="24"/>
          <w:szCs w:val="24"/>
        </w:rPr>
        <w:t>За 201</w:t>
      </w:r>
      <w:r>
        <w:rPr>
          <w:rFonts w:ascii="Georgia" w:hAnsi="Georgia"/>
          <w:sz w:val="24"/>
          <w:szCs w:val="24"/>
        </w:rPr>
        <w:t>5</w:t>
      </w:r>
      <w:r w:rsidRPr="002F198C">
        <w:rPr>
          <w:rFonts w:ascii="Georgia" w:hAnsi="Georgia"/>
          <w:sz w:val="24"/>
          <w:szCs w:val="24"/>
        </w:rPr>
        <w:t xml:space="preserve"> год Банком получен </w:t>
      </w:r>
      <w:r w:rsidRPr="002F198C">
        <w:rPr>
          <w:rFonts w:ascii="Georgia" w:hAnsi="Georgia"/>
          <w:b/>
          <w:i/>
          <w:sz w:val="24"/>
          <w:szCs w:val="24"/>
        </w:rPr>
        <w:t>чист</w:t>
      </w:r>
      <w:r>
        <w:rPr>
          <w:rFonts w:ascii="Georgia" w:hAnsi="Georgia"/>
          <w:b/>
          <w:i/>
          <w:sz w:val="24"/>
          <w:szCs w:val="24"/>
        </w:rPr>
        <w:t>ый</w:t>
      </w:r>
      <w:r w:rsidRPr="002F198C">
        <w:rPr>
          <w:rFonts w:ascii="Georgia" w:hAnsi="Georgia"/>
          <w:b/>
          <w:i/>
          <w:sz w:val="24"/>
          <w:szCs w:val="24"/>
        </w:rPr>
        <w:t xml:space="preserve"> </w:t>
      </w:r>
      <w:r>
        <w:rPr>
          <w:rFonts w:ascii="Georgia" w:hAnsi="Georgia"/>
          <w:b/>
          <w:i/>
          <w:sz w:val="24"/>
          <w:szCs w:val="24"/>
        </w:rPr>
        <w:t>убыток</w:t>
      </w:r>
      <w:r w:rsidRPr="002F198C">
        <w:rPr>
          <w:rFonts w:ascii="Georgia" w:hAnsi="Georgia"/>
          <w:sz w:val="24"/>
          <w:szCs w:val="24"/>
        </w:rPr>
        <w:t xml:space="preserve"> в сумме </w:t>
      </w:r>
      <w:r>
        <w:rPr>
          <w:rFonts w:ascii="Georgia" w:hAnsi="Georgia"/>
          <w:sz w:val="24"/>
          <w:szCs w:val="24"/>
        </w:rPr>
        <w:t>564</w:t>
      </w:r>
      <w:r w:rsidRPr="002F198C">
        <w:rPr>
          <w:rFonts w:ascii="Georgia" w:hAnsi="Georgia"/>
          <w:sz w:val="24"/>
          <w:szCs w:val="24"/>
        </w:rPr>
        <w:t xml:space="preserve"> млн. рублей, </w:t>
      </w:r>
      <w:r>
        <w:rPr>
          <w:rFonts w:ascii="Georgia" w:hAnsi="Georgia"/>
          <w:sz w:val="24"/>
          <w:szCs w:val="24"/>
        </w:rPr>
        <w:t>что было вызвано главным образом ростом расходов на создание резервов</w:t>
      </w:r>
      <w:r w:rsidRPr="002F198C">
        <w:rPr>
          <w:rFonts w:ascii="Georgia" w:hAnsi="Georgia"/>
          <w:sz w:val="24"/>
          <w:szCs w:val="24"/>
        </w:rPr>
        <w:t xml:space="preserve">. </w:t>
      </w:r>
      <w:r w:rsidR="009A2C34" w:rsidRPr="009A2C34">
        <w:rPr>
          <w:rFonts w:ascii="Georgia" w:hAnsi="Georgia"/>
          <w:sz w:val="24"/>
          <w:szCs w:val="24"/>
        </w:rPr>
        <w:t>Операционная деятельность Банка продолжает приносить доходы, большая часть которых приходится на процентные и комиссионные доходы. Объем чистого процентного дохода вырос по сравнению с 2014 годом на 32,5% до 726 млн. рублей. Чистый доход от комиссионных операций увеличился в 2,5 раза со 106 млн. рублей до 260 млн. руб.</w:t>
      </w:r>
    </w:p>
    <w:p w:rsidR="007D5972" w:rsidRDefault="007D5972" w:rsidP="007D5972">
      <w:pPr>
        <w:jc w:val="both"/>
        <w:rPr>
          <w:rFonts w:ascii="Georgia" w:hAnsi="Georgia"/>
          <w:sz w:val="24"/>
          <w:szCs w:val="24"/>
        </w:rPr>
      </w:pPr>
    </w:p>
    <w:p w:rsidR="005E127E" w:rsidRDefault="005E127E" w:rsidP="007D5972">
      <w:pPr>
        <w:jc w:val="both"/>
        <w:rPr>
          <w:rFonts w:ascii="Georgia" w:hAnsi="Georgia"/>
          <w:sz w:val="24"/>
          <w:szCs w:val="24"/>
        </w:rPr>
      </w:pPr>
    </w:p>
    <w:p w:rsidR="00514F27" w:rsidRDefault="00514F27" w:rsidP="005C3F93">
      <w:pPr>
        <w:spacing w:after="0" w:line="240" w:lineRule="auto"/>
        <w:rPr>
          <w:rFonts w:asciiTheme="majorHAnsi" w:eastAsiaTheme="majorEastAsia" w:hAnsiTheme="majorHAnsi" w:cstheme="majorBidi"/>
          <w:b/>
          <w:bCs/>
          <w:noProof/>
          <w:color w:val="00B050"/>
          <w:sz w:val="20"/>
          <w:szCs w:val="20"/>
        </w:rPr>
      </w:pPr>
    </w:p>
    <w:p w:rsidR="00374BD0" w:rsidRPr="00374BD0" w:rsidRDefault="00374BD0" w:rsidP="007D5972">
      <w:pPr>
        <w:pStyle w:val="2"/>
        <w:spacing w:before="0" w:line="240" w:lineRule="auto"/>
        <w:rPr>
          <w:noProof/>
          <w:color w:val="00B050"/>
          <w:sz w:val="20"/>
          <w:szCs w:val="20"/>
        </w:rPr>
      </w:pPr>
    </w:p>
    <w:p w:rsidR="00EA5448" w:rsidRPr="003A3768" w:rsidRDefault="00EA5448" w:rsidP="00EA5448">
      <w:pPr>
        <w:pStyle w:val="2"/>
        <w:spacing w:before="0" w:line="240" w:lineRule="auto"/>
        <w:rPr>
          <w:noProof/>
          <w:color w:val="00B050"/>
          <w:sz w:val="40"/>
          <w:szCs w:val="40"/>
        </w:rPr>
      </w:pPr>
      <w:bookmarkStart w:id="47" w:name="_Toc448145474"/>
      <w:r>
        <w:rPr>
          <w:noProof/>
          <w:color w:val="00B050"/>
          <w:sz w:val="40"/>
          <w:szCs w:val="40"/>
        </w:rPr>
        <w:t>Система внутреннего контроля</w:t>
      </w:r>
      <w:bookmarkEnd w:id="47"/>
    </w:p>
    <w:p w:rsidR="00EA5448" w:rsidRDefault="00EA5448" w:rsidP="00EA5448">
      <w:pPr>
        <w:pStyle w:val="2"/>
        <w:spacing w:after="120" w:line="240" w:lineRule="auto"/>
        <w:contextualSpacing/>
        <w:jc w:val="both"/>
        <w:rPr>
          <w:rFonts w:ascii="Georgia" w:eastAsiaTheme="minorEastAsia" w:hAnsi="Georgia" w:cs="Georgia-Bold"/>
          <w:b w:val="0"/>
          <w:color w:val="000000"/>
          <w:sz w:val="24"/>
          <w:szCs w:val="24"/>
        </w:rPr>
      </w:pP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 xml:space="preserve">В Банке, в соответствии с нормативными требованиями Банка России, функционирует Система внутреннего контроля, нацеленная на обеспечение эффективности и результативности финансово-хозяйственной деятельности и управления банковскими рисками, достоверности, полноты, объективности и своевременности составления и представления отчетности Банка, соблюдения нормативных правовых актов, стандартов саморегулируемых организаций, учредительных и внутренних документов Банка. </w:t>
      </w: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Система внутреннего контроля включает в себя систему органов, обеспечивающих распределение полномочий при совершении банковских операций и других сделок, соблюдение порядка их осуществления в соответствии с нормативно-правовыми актами Банка России и достижение целей в области управления банковскими рисками. В их число входит:</w:t>
      </w:r>
    </w:p>
    <w:p w:rsidR="00BE099D" w:rsidRPr="00041FAA" w:rsidRDefault="00BE099D" w:rsidP="00BE099D">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 xml:space="preserve"> - </w:t>
      </w:r>
      <w:r w:rsidRPr="00041FAA">
        <w:rPr>
          <w:rFonts w:ascii="Georgia" w:hAnsi="Georgia"/>
          <w:sz w:val="24"/>
          <w:szCs w:val="24"/>
        </w:rPr>
        <w:t>Совет Директоров, Председатель Правления (его заместители) и Правление;</w:t>
      </w:r>
    </w:p>
    <w:p w:rsidR="00BE099D" w:rsidRPr="00041FAA" w:rsidRDefault="00BE099D" w:rsidP="00BE099D">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 xml:space="preserve"> - </w:t>
      </w:r>
      <w:r w:rsidRPr="00041FAA">
        <w:rPr>
          <w:rFonts w:ascii="Georgia" w:hAnsi="Georgia"/>
          <w:sz w:val="24"/>
          <w:szCs w:val="24"/>
        </w:rPr>
        <w:t>Ревизионная комиссия Банка;</w:t>
      </w:r>
    </w:p>
    <w:p w:rsidR="00BE099D" w:rsidRPr="00041FAA" w:rsidRDefault="00BE099D" w:rsidP="00BE099D">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 xml:space="preserve"> - </w:t>
      </w:r>
      <w:r w:rsidRPr="00041FAA">
        <w:rPr>
          <w:rFonts w:ascii="Georgia" w:hAnsi="Georgia"/>
          <w:sz w:val="24"/>
          <w:szCs w:val="24"/>
        </w:rPr>
        <w:t>Главный бухгалтер (его заместители);</w:t>
      </w:r>
    </w:p>
    <w:p w:rsidR="00BE099D" w:rsidRPr="00041FAA" w:rsidRDefault="00BE099D" w:rsidP="00BE099D">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 xml:space="preserve"> - </w:t>
      </w:r>
      <w:r w:rsidRPr="00041FAA">
        <w:rPr>
          <w:rFonts w:ascii="Georgia" w:hAnsi="Georgia"/>
          <w:sz w:val="24"/>
          <w:szCs w:val="24"/>
        </w:rPr>
        <w:t>Директора и главные бухгалтера филиалов;</w:t>
      </w:r>
    </w:p>
    <w:p w:rsidR="00BE099D" w:rsidRPr="00041FAA" w:rsidRDefault="00BE099D" w:rsidP="00BE099D">
      <w:pPr>
        <w:pStyle w:val="ae"/>
        <w:numPr>
          <w:ilvl w:val="0"/>
          <w:numId w:val="15"/>
        </w:numPr>
        <w:tabs>
          <w:tab w:val="left" w:pos="284"/>
        </w:tabs>
        <w:spacing w:after="120" w:line="240" w:lineRule="auto"/>
        <w:ind w:left="0" w:firstLine="0"/>
        <w:jc w:val="both"/>
        <w:rPr>
          <w:rFonts w:ascii="Georgia" w:hAnsi="Georgia"/>
          <w:sz w:val="24"/>
          <w:szCs w:val="24"/>
        </w:rPr>
      </w:pPr>
      <w:r>
        <w:rPr>
          <w:rFonts w:ascii="Georgia" w:hAnsi="Georgia"/>
          <w:sz w:val="24"/>
          <w:szCs w:val="24"/>
        </w:rPr>
        <w:t xml:space="preserve"> - </w:t>
      </w:r>
      <w:r w:rsidRPr="00041FAA">
        <w:rPr>
          <w:rFonts w:ascii="Georgia" w:hAnsi="Georgia"/>
          <w:sz w:val="24"/>
          <w:szCs w:val="24"/>
        </w:rPr>
        <w:t>подразделения и служащие, осуществляющие внутренний контроль в соответствии с полномочиями, определяемыми внутренними документами Банка, включая:</w:t>
      </w:r>
    </w:p>
    <w:p w:rsidR="00BE099D" w:rsidRPr="00041FAA" w:rsidRDefault="00BE099D" w:rsidP="00BE099D">
      <w:pPr>
        <w:pStyle w:val="ae"/>
        <w:numPr>
          <w:ilvl w:val="0"/>
          <w:numId w:val="15"/>
        </w:numPr>
        <w:tabs>
          <w:tab w:val="left" w:pos="284"/>
        </w:tabs>
        <w:spacing w:after="120" w:line="240" w:lineRule="auto"/>
        <w:ind w:left="1134" w:hanging="283"/>
        <w:jc w:val="both"/>
        <w:rPr>
          <w:rFonts w:ascii="Georgia" w:hAnsi="Georgia"/>
          <w:sz w:val="24"/>
          <w:szCs w:val="24"/>
        </w:rPr>
      </w:pPr>
      <w:r w:rsidRPr="00041FAA">
        <w:rPr>
          <w:rFonts w:ascii="Georgia" w:hAnsi="Georgia"/>
          <w:sz w:val="24"/>
          <w:szCs w:val="24"/>
        </w:rPr>
        <w:t>Службу внутреннего аудита;</w:t>
      </w:r>
    </w:p>
    <w:p w:rsidR="00BE099D" w:rsidRPr="00041FAA" w:rsidRDefault="00BE099D" w:rsidP="00BE099D">
      <w:pPr>
        <w:pStyle w:val="ae"/>
        <w:numPr>
          <w:ilvl w:val="0"/>
          <w:numId w:val="15"/>
        </w:numPr>
        <w:tabs>
          <w:tab w:val="left" w:pos="284"/>
        </w:tabs>
        <w:spacing w:after="120" w:line="240" w:lineRule="auto"/>
        <w:ind w:left="1134" w:hanging="283"/>
        <w:jc w:val="both"/>
        <w:rPr>
          <w:rFonts w:ascii="Georgia" w:hAnsi="Georgia"/>
          <w:sz w:val="24"/>
          <w:szCs w:val="24"/>
        </w:rPr>
      </w:pPr>
      <w:r w:rsidRPr="00041FAA">
        <w:rPr>
          <w:rFonts w:ascii="Georgia" w:hAnsi="Georgia"/>
          <w:sz w:val="24"/>
          <w:szCs w:val="24"/>
        </w:rPr>
        <w:t>Службу внутреннего контроля;</w:t>
      </w:r>
    </w:p>
    <w:p w:rsidR="00BE099D" w:rsidRPr="00041FAA" w:rsidRDefault="00BE099D" w:rsidP="00BE099D">
      <w:pPr>
        <w:pStyle w:val="ae"/>
        <w:numPr>
          <w:ilvl w:val="0"/>
          <w:numId w:val="15"/>
        </w:numPr>
        <w:tabs>
          <w:tab w:val="left" w:pos="284"/>
        </w:tabs>
        <w:spacing w:after="120" w:line="240" w:lineRule="auto"/>
        <w:ind w:left="1134" w:hanging="283"/>
        <w:jc w:val="both"/>
        <w:rPr>
          <w:rFonts w:ascii="Georgia" w:hAnsi="Georgia"/>
          <w:sz w:val="24"/>
          <w:szCs w:val="24"/>
        </w:rPr>
      </w:pPr>
      <w:r w:rsidRPr="00041FAA">
        <w:rPr>
          <w:rFonts w:ascii="Georgia" w:hAnsi="Georgia"/>
          <w:sz w:val="24"/>
          <w:szCs w:val="24"/>
        </w:rPr>
        <w:t>Отдел финансового мониторинга;</w:t>
      </w:r>
    </w:p>
    <w:p w:rsidR="00BE099D" w:rsidRPr="00041FAA" w:rsidRDefault="00BE099D" w:rsidP="00BE099D">
      <w:pPr>
        <w:pStyle w:val="ae"/>
        <w:numPr>
          <w:ilvl w:val="0"/>
          <w:numId w:val="15"/>
        </w:numPr>
        <w:tabs>
          <w:tab w:val="left" w:pos="284"/>
        </w:tabs>
        <w:spacing w:after="120" w:line="240" w:lineRule="auto"/>
        <w:ind w:left="1134" w:hanging="283"/>
        <w:jc w:val="both"/>
        <w:rPr>
          <w:rFonts w:ascii="Georgia" w:hAnsi="Georgia"/>
          <w:sz w:val="24"/>
          <w:szCs w:val="24"/>
        </w:rPr>
      </w:pPr>
      <w:r w:rsidRPr="00041FAA">
        <w:rPr>
          <w:rFonts w:ascii="Georgia" w:hAnsi="Georgia"/>
          <w:sz w:val="24"/>
          <w:szCs w:val="24"/>
        </w:rPr>
        <w:t>Контролера профессионального участника рынка ценных бумаг;</w:t>
      </w:r>
    </w:p>
    <w:p w:rsidR="00BE099D" w:rsidRPr="00041FAA" w:rsidRDefault="00BE099D" w:rsidP="00BE099D">
      <w:pPr>
        <w:pStyle w:val="ae"/>
        <w:numPr>
          <w:ilvl w:val="0"/>
          <w:numId w:val="15"/>
        </w:numPr>
        <w:tabs>
          <w:tab w:val="left" w:pos="284"/>
        </w:tabs>
        <w:spacing w:after="120" w:line="240" w:lineRule="auto"/>
        <w:ind w:left="1134" w:hanging="283"/>
        <w:jc w:val="both"/>
        <w:rPr>
          <w:rFonts w:ascii="Georgia" w:hAnsi="Georgia"/>
          <w:sz w:val="24"/>
          <w:szCs w:val="24"/>
        </w:rPr>
      </w:pPr>
      <w:r w:rsidRPr="00041FAA">
        <w:rPr>
          <w:rFonts w:ascii="Georgia" w:hAnsi="Georgia"/>
          <w:sz w:val="24"/>
          <w:szCs w:val="24"/>
        </w:rPr>
        <w:t>Юридическое управление.</w:t>
      </w: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В Банке на постоянной основе осуществляется мониторинг Системы внутреннего контроля и принимаются необходимые меры по совершенствованию внутреннего контроля для обеспечения его эффективного функционирования, в том числе с учетом меняющихся внутренних и внешних факторов, оказывающих воздействие на деятельность Банка.</w:t>
      </w: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Мониторинг Системы внутреннего контроля осуществляется руководством и служащими различных подразделений, включая подразделения, осуществляющие банковские операции и их отражение в бухгалтерском учете и отчетности, а также Службой внутреннего аудита и Службой внутреннего контроля.</w:t>
      </w:r>
    </w:p>
    <w:p w:rsidR="00BE099D"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 xml:space="preserve">В течение 2015 года Службой внутреннего аудита в соответствии с Планом проверок, утвержденным Советом директоров, проводились проверки различных направлений деятельности Банка как в Головном офисе Банка, так и комплексные проверки финансово-хозяйственной деятельности филиалов Банка. В число основных проверок входили операции по привлечению в депозиты денежных средств юридических и физических лиц, операции по расчетно-кассовому обслуживанию юридических лиц, работа по организации противодействию легализации (отмыванию) доходов, полученных преступным путем, и финансированию терроризма, операции по валютному контролю,  операции кредитования юридических </w:t>
      </w:r>
      <w:r>
        <w:rPr>
          <w:rFonts w:ascii="Georgia" w:hAnsi="Georgia"/>
          <w:sz w:val="24"/>
          <w:szCs w:val="24"/>
        </w:rPr>
        <w:t xml:space="preserve"> </w:t>
      </w:r>
    </w:p>
    <w:p w:rsidR="00BE099D" w:rsidRPr="00BE099D" w:rsidRDefault="00BE099D" w:rsidP="00BE099D">
      <w:pPr>
        <w:autoSpaceDE w:val="0"/>
        <w:autoSpaceDN w:val="0"/>
        <w:adjustRightInd w:val="0"/>
        <w:spacing w:after="120" w:line="240" w:lineRule="auto"/>
        <w:jc w:val="both"/>
        <w:rPr>
          <w:rFonts w:ascii="Georgia" w:hAnsi="Georgia"/>
          <w:sz w:val="20"/>
          <w:szCs w:val="20"/>
        </w:rPr>
      </w:pP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и физических лиц, операции по межбанковскому кредитованию, операции с ценными бумагами, проверка деятельности Службы внутреннего контроля и Управления банковских рисков, и т.п.</w:t>
      </w: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Кроме того, осуществлялся контроль за функционированием Системы управления банковскими рисками и оценка состояния управления рисками в Банке, контроль за функционированием Системы противодействия легализации (отмыванию) доходов, полученных преступным путем, и финансированию терроризма.</w:t>
      </w:r>
    </w:p>
    <w:p w:rsidR="00BE099D" w:rsidRPr="00041FAA" w:rsidRDefault="00BE099D" w:rsidP="00BE099D">
      <w:pPr>
        <w:autoSpaceDE w:val="0"/>
        <w:autoSpaceDN w:val="0"/>
        <w:adjustRightInd w:val="0"/>
        <w:spacing w:after="120" w:line="240" w:lineRule="auto"/>
        <w:jc w:val="both"/>
        <w:rPr>
          <w:rFonts w:ascii="Georgia" w:hAnsi="Georgia"/>
          <w:sz w:val="24"/>
          <w:szCs w:val="24"/>
        </w:rPr>
      </w:pPr>
      <w:r w:rsidRPr="00041FAA">
        <w:rPr>
          <w:rFonts w:ascii="Georgia" w:hAnsi="Georgia"/>
          <w:sz w:val="24"/>
          <w:szCs w:val="24"/>
        </w:rPr>
        <w:t xml:space="preserve">Деятельность Службы внутреннего контроля в 2015 году была направлена на минимизацию регуляторного риска и осуществлялась согласно Плану работы СВК, утвержденному Председателем Правления, включающему в том числе: мониторинг регуляторного риска, эффективности управления регуляторным риском; учет и анализ событий, связанных с регуляторным риском; проверку соответствия внутренних документов Банка законодательству, актам Банка России; анализ показателей динамики жалоб, обращений клиентов, соблюдения Банком прав клиентов; участие в разработке и согласовании внутренних нормативных документов, банковских продуктов. </w:t>
      </w:r>
    </w:p>
    <w:p w:rsidR="00EA5448" w:rsidRDefault="00BE099D" w:rsidP="00BE099D">
      <w:pPr>
        <w:autoSpaceDE w:val="0"/>
        <w:autoSpaceDN w:val="0"/>
        <w:adjustRightInd w:val="0"/>
        <w:spacing w:after="120" w:line="240" w:lineRule="auto"/>
        <w:jc w:val="both"/>
        <w:rPr>
          <w:noProof/>
          <w:color w:val="00B050"/>
          <w:sz w:val="40"/>
          <w:szCs w:val="40"/>
        </w:rPr>
      </w:pPr>
      <w:r w:rsidRPr="00041FAA">
        <w:rPr>
          <w:rFonts w:ascii="Georgia" w:hAnsi="Georgia"/>
          <w:sz w:val="24"/>
          <w:szCs w:val="24"/>
        </w:rPr>
        <w:t>Кроме того, Службой внутреннего контроля в 2015 году осуществлялось сопровождение комплексной проверки Банка, проводимой рабочей группой Центрального банка Российской Федерации.</w:t>
      </w: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40"/>
          <w:szCs w:val="40"/>
        </w:rPr>
      </w:pPr>
    </w:p>
    <w:p w:rsidR="00EA5448" w:rsidRDefault="00EA5448" w:rsidP="007D5972">
      <w:pPr>
        <w:pStyle w:val="2"/>
        <w:spacing w:before="0" w:line="240" w:lineRule="auto"/>
        <w:rPr>
          <w:noProof/>
          <w:color w:val="00B050"/>
          <w:sz w:val="20"/>
          <w:szCs w:val="20"/>
        </w:rPr>
      </w:pPr>
    </w:p>
    <w:p w:rsidR="00BE099D" w:rsidRPr="00BE099D" w:rsidRDefault="00BE099D" w:rsidP="00BE099D"/>
    <w:p w:rsidR="00BE099D" w:rsidRPr="00BE099D" w:rsidRDefault="00BE099D" w:rsidP="007D5972">
      <w:pPr>
        <w:pStyle w:val="2"/>
        <w:spacing w:before="0" w:line="240" w:lineRule="auto"/>
        <w:rPr>
          <w:noProof/>
          <w:color w:val="00B050"/>
          <w:sz w:val="20"/>
          <w:szCs w:val="20"/>
        </w:rPr>
      </w:pPr>
    </w:p>
    <w:p w:rsidR="007D5972" w:rsidRPr="003A3768" w:rsidRDefault="007D5972" w:rsidP="007D5972">
      <w:pPr>
        <w:pStyle w:val="2"/>
        <w:spacing w:before="0" w:line="240" w:lineRule="auto"/>
        <w:rPr>
          <w:noProof/>
          <w:color w:val="00B050"/>
          <w:sz w:val="40"/>
          <w:szCs w:val="40"/>
        </w:rPr>
      </w:pPr>
      <w:bookmarkStart w:id="48" w:name="_Toc448145475"/>
      <w:r w:rsidRPr="003A3768">
        <w:rPr>
          <w:noProof/>
          <w:color w:val="00B050"/>
          <w:sz w:val="40"/>
          <w:szCs w:val="40"/>
        </w:rPr>
        <w:t>Управление рисками</w:t>
      </w:r>
      <w:bookmarkEnd w:id="48"/>
    </w:p>
    <w:p w:rsidR="007D5972" w:rsidRPr="0005045D" w:rsidRDefault="007D5972" w:rsidP="007D5972">
      <w:pPr>
        <w:spacing w:after="0" w:line="240" w:lineRule="auto"/>
        <w:rPr>
          <w:rFonts w:asciiTheme="majorHAnsi" w:eastAsiaTheme="majorEastAsia" w:hAnsiTheme="majorHAnsi" w:cstheme="majorBidi"/>
          <w:b/>
          <w:bCs/>
          <w:noProof/>
          <w:color w:val="00B050"/>
          <w:sz w:val="20"/>
          <w:szCs w:val="20"/>
        </w:rPr>
      </w:pPr>
    </w:p>
    <w:p w:rsidR="007D5972" w:rsidRDefault="007D5972" w:rsidP="00F85653">
      <w:pPr>
        <w:spacing w:after="120" w:line="240" w:lineRule="auto"/>
        <w:jc w:val="both"/>
        <w:rPr>
          <w:rFonts w:ascii="Georgia" w:hAnsi="Georgia" w:cs="Georgia-Bold"/>
          <w:bCs/>
          <w:color w:val="000000"/>
          <w:sz w:val="24"/>
          <w:szCs w:val="24"/>
        </w:rPr>
      </w:pPr>
      <w:r>
        <w:rPr>
          <w:rFonts w:ascii="Georgia" w:hAnsi="Georgia" w:cs="Georgia-Bold"/>
          <w:bCs/>
          <w:color w:val="000000"/>
          <w:sz w:val="24"/>
          <w:szCs w:val="24"/>
        </w:rPr>
        <w:t>Основными видами рисков, которым подвержена деятельность ПАО «ИнтехБанк» являются кредитный риск, стратегический риск, риск ликвидности, операционный, комплаенс-риск, правовой, стратегические риски и риск потери деловой репутации.</w:t>
      </w:r>
    </w:p>
    <w:p w:rsidR="007D5972" w:rsidRDefault="007D5972" w:rsidP="00F85653">
      <w:pPr>
        <w:tabs>
          <w:tab w:val="left" w:pos="567"/>
          <w:tab w:val="left" w:pos="720"/>
        </w:tabs>
        <w:autoSpaceDE w:val="0"/>
        <w:autoSpaceDN w:val="0"/>
        <w:spacing w:after="120" w:line="240" w:lineRule="auto"/>
        <w:jc w:val="both"/>
        <w:rPr>
          <w:rFonts w:ascii="Georgia" w:hAnsi="Georgia" w:cs="Georgia-Bold"/>
          <w:bCs/>
          <w:color w:val="000000"/>
          <w:sz w:val="24"/>
          <w:szCs w:val="24"/>
        </w:rPr>
      </w:pPr>
      <w:r>
        <w:rPr>
          <w:rFonts w:ascii="Georgia" w:hAnsi="Georgia" w:cs="Georgia-Bold"/>
          <w:bCs/>
          <w:color w:val="000000"/>
          <w:sz w:val="24"/>
          <w:szCs w:val="24"/>
        </w:rPr>
        <w:t>П</w:t>
      </w:r>
      <w:r w:rsidRPr="0005045D">
        <w:rPr>
          <w:rFonts w:ascii="Georgia" w:hAnsi="Georgia" w:cs="Georgia-Bold"/>
          <w:bCs/>
          <w:color w:val="000000"/>
          <w:sz w:val="24"/>
          <w:szCs w:val="24"/>
        </w:rPr>
        <w:t>АО «ИнтехБанк» обладает устойчивой деловой репутацией и на постоянной основе осуществляет контроль за качеством предоставляемых услуг.</w:t>
      </w:r>
    </w:p>
    <w:p w:rsidR="007D5972" w:rsidRDefault="007D5972" w:rsidP="00F85653">
      <w:pPr>
        <w:spacing w:after="120" w:line="240" w:lineRule="auto"/>
        <w:jc w:val="both"/>
        <w:rPr>
          <w:rFonts w:ascii="Georgia" w:hAnsi="Georgia"/>
          <w:b/>
          <w:i/>
          <w:color w:val="365F91" w:themeColor="accent1" w:themeShade="BF"/>
          <w:sz w:val="28"/>
          <w:szCs w:val="24"/>
        </w:rPr>
      </w:pPr>
      <w:r w:rsidRPr="0005045D">
        <w:rPr>
          <w:rFonts w:ascii="Georgia" w:hAnsi="Georgia"/>
          <w:b/>
          <w:i/>
          <w:color w:val="365F91" w:themeColor="accent1" w:themeShade="BF"/>
          <w:sz w:val="28"/>
          <w:szCs w:val="24"/>
        </w:rPr>
        <w:t>Политика, организация и структура управления рисками</w:t>
      </w:r>
    </w:p>
    <w:p w:rsidR="007D5972" w:rsidRPr="00575CF5" w:rsidRDefault="007D5972" w:rsidP="00F85653">
      <w:pPr>
        <w:tabs>
          <w:tab w:val="left" w:pos="284"/>
        </w:tabs>
        <w:autoSpaceDE w:val="0"/>
        <w:autoSpaceDN w:val="0"/>
        <w:spacing w:after="120" w:line="240" w:lineRule="auto"/>
        <w:jc w:val="both"/>
        <w:rPr>
          <w:rFonts w:ascii="Georgia" w:hAnsi="Georgia" w:cs="Georgia-Bold"/>
          <w:bCs/>
          <w:color w:val="000000"/>
          <w:sz w:val="24"/>
          <w:szCs w:val="24"/>
        </w:rPr>
      </w:pPr>
      <w:r w:rsidRPr="00575CF5">
        <w:rPr>
          <w:rFonts w:ascii="Georgia" w:hAnsi="Georgia" w:cs="Georgia-Bold"/>
          <w:bCs/>
          <w:color w:val="000000"/>
          <w:sz w:val="24"/>
          <w:szCs w:val="24"/>
        </w:rPr>
        <w:t xml:space="preserve">Управление рисками в </w:t>
      </w:r>
      <w:r>
        <w:rPr>
          <w:rFonts w:ascii="Georgia" w:hAnsi="Georgia" w:cs="Georgia-Bold"/>
          <w:bCs/>
          <w:color w:val="000000"/>
          <w:sz w:val="24"/>
          <w:szCs w:val="24"/>
        </w:rPr>
        <w:t>П</w:t>
      </w:r>
      <w:r w:rsidRPr="00575CF5">
        <w:rPr>
          <w:rFonts w:ascii="Georgia" w:hAnsi="Georgia" w:cs="Georgia-Bold"/>
          <w:bCs/>
          <w:color w:val="000000"/>
          <w:sz w:val="24"/>
          <w:szCs w:val="24"/>
        </w:rPr>
        <w:t xml:space="preserve">АО «ИнтехБанк» реализуется в целях обеспечения успешной и стабильной деятельности и поддержания высоких темпов развития за счет снижения возможных потерь и повышения доходности проводимых операций. Основными направлениями и приоритетами системы управления банковскими рисками являются соблюдение требований, предписанных Банком России, и рекомендаций Базельского комитета по банковскому надзору и регулированию, а также осуществление конкретных практических мер по снижению принимаемых Банком рисков. </w:t>
      </w:r>
    </w:p>
    <w:p w:rsidR="007D5972" w:rsidRPr="00575CF5" w:rsidRDefault="007D5972" w:rsidP="00F85653">
      <w:pPr>
        <w:tabs>
          <w:tab w:val="left" w:pos="284"/>
        </w:tabs>
        <w:autoSpaceDE w:val="0"/>
        <w:autoSpaceDN w:val="0"/>
        <w:spacing w:after="120" w:line="240" w:lineRule="auto"/>
        <w:jc w:val="both"/>
        <w:rPr>
          <w:rFonts w:ascii="Georgia" w:hAnsi="Georgia" w:cs="Georgia-Bold"/>
          <w:bCs/>
          <w:color w:val="000000"/>
          <w:sz w:val="24"/>
          <w:szCs w:val="24"/>
        </w:rPr>
      </w:pPr>
      <w:r w:rsidRPr="00575CF5">
        <w:rPr>
          <w:rFonts w:ascii="Georgia" w:hAnsi="Georgia" w:cs="Georgia-Bold"/>
          <w:b/>
          <w:bCs/>
          <w:i/>
          <w:color w:val="000000"/>
          <w:sz w:val="24"/>
          <w:szCs w:val="24"/>
        </w:rPr>
        <w:t>Принципы построения</w:t>
      </w:r>
      <w:r w:rsidRPr="00575CF5">
        <w:rPr>
          <w:rFonts w:ascii="Georgia" w:hAnsi="Georgia" w:cs="Georgia-Bold"/>
          <w:bCs/>
          <w:color w:val="000000"/>
          <w:sz w:val="24"/>
          <w:szCs w:val="24"/>
        </w:rPr>
        <w:t xml:space="preserve"> </w:t>
      </w:r>
      <w:r w:rsidRPr="00575CF5">
        <w:rPr>
          <w:rFonts w:ascii="Georgia" w:hAnsi="Georgia" w:cs="Georgia-Bold"/>
          <w:b/>
          <w:bCs/>
          <w:i/>
          <w:color w:val="000000"/>
          <w:sz w:val="24"/>
          <w:szCs w:val="24"/>
        </w:rPr>
        <w:t>системы управления рисков</w:t>
      </w:r>
      <w:r w:rsidRPr="00575CF5">
        <w:rPr>
          <w:rFonts w:ascii="Georgia" w:hAnsi="Georgia" w:cs="Georgia-Bold"/>
          <w:bCs/>
          <w:color w:val="000000"/>
          <w:sz w:val="24"/>
          <w:szCs w:val="24"/>
        </w:rPr>
        <w:t xml:space="preserve"> </w:t>
      </w:r>
      <w:r>
        <w:rPr>
          <w:rFonts w:ascii="Georgia" w:hAnsi="Georgia" w:cs="Georgia-Bold"/>
          <w:bCs/>
          <w:color w:val="000000"/>
          <w:sz w:val="24"/>
          <w:szCs w:val="24"/>
        </w:rPr>
        <w:t>П</w:t>
      </w:r>
      <w:r w:rsidRPr="00575CF5">
        <w:rPr>
          <w:rFonts w:ascii="Georgia" w:hAnsi="Georgia" w:cs="Georgia-Bold"/>
          <w:bCs/>
          <w:color w:val="000000"/>
          <w:sz w:val="24"/>
          <w:szCs w:val="24"/>
        </w:rPr>
        <w:t>АО «ИнтехБанк» следующие:</w:t>
      </w:r>
    </w:p>
    <w:p w:rsidR="007D5972" w:rsidRPr="003801F2" w:rsidRDefault="007D5972" w:rsidP="00F85653">
      <w:pPr>
        <w:pStyle w:val="ae"/>
        <w:numPr>
          <w:ilvl w:val="0"/>
          <w:numId w:val="11"/>
        </w:numPr>
        <w:tabs>
          <w:tab w:val="left" w:pos="284"/>
        </w:tabs>
        <w:spacing w:after="120" w:line="240" w:lineRule="auto"/>
        <w:ind w:left="0" w:firstLine="0"/>
        <w:contextualSpacing w:val="0"/>
        <w:jc w:val="both"/>
        <w:rPr>
          <w:rFonts w:ascii="Georgia" w:hAnsi="Georgia" w:cs="Georgia-Bold"/>
          <w:bCs/>
          <w:color w:val="000000"/>
          <w:sz w:val="24"/>
          <w:szCs w:val="24"/>
        </w:rPr>
      </w:pPr>
      <w:r w:rsidRPr="003801F2">
        <w:rPr>
          <w:rFonts w:ascii="Georgia" w:hAnsi="Georgia" w:cs="Georgia-Bold"/>
          <w:bCs/>
          <w:color w:val="000000"/>
          <w:sz w:val="24"/>
          <w:szCs w:val="24"/>
        </w:rPr>
        <w:t>Документированная стратегия управления рисками на общебанковском уровне, обеспечивающая соблюдение норм, установленных Центральным банком РФ, стандартов Базельского комитета, законодательства РФ и других нормативных документов;</w:t>
      </w:r>
    </w:p>
    <w:p w:rsidR="007D5972" w:rsidRDefault="007D5972" w:rsidP="00F85653">
      <w:pPr>
        <w:pStyle w:val="ae"/>
        <w:numPr>
          <w:ilvl w:val="0"/>
          <w:numId w:val="11"/>
        </w:numPr>
        <w:tabs>
          <w:tab w:val="left" w:pos="284"/>
        </w:tabs>
        <w:spacing w:after="120" w:line="240" w:lineRule="auto"/>
        <w:ind w:left="0" w:firstLine="0"/>
        <w:contextualSpacing w:val="0"/>
        <w:jc w:val="both"/>
        <w:rPr>
          <w:rFonts w:ascii="Georgia" w:hAnsi="Georgia" w:cs="Georgia-Bold"/>
          <w:bCs/>
          <w:color w:val="000000"/>
          <w:sz w:val="24"/>
          <w:szCs w:val="24"/>
        </w:rPr>
      </w:pPr>
      <w:r w:rsidRPr="003801F2">
        <w:rPr>
          <w:rFonts w:ascii="Georgia" w:hAnsi="Georgia" w:cs="Georgia-Bold"/>
          <w:bCs/>
          <w:color w:val="000000"/>
          <w:sz w:val="24"/>
          <w:szCs w:val="24"/>
        </w:rPr>
        <w:t xml:space="preserve">Утвержденная система руководств по выполнению указанной стратегии, обеспечивающая непрерывную оценку эффективности системы управления каждым видом рисков </w:t>
      </w:r>
      <w:r>
        <w:rPr>
          <w:rFonts w:ascii="Georgia" w:hAnsi="Georgia" w:cs="Georgia-Bold"/>
          <w:bCs/>
          <w:color w:val="000000"/>
          <w:sz w:val="24"/>
          <w:szCs w:val="24"/>
        </w:rPr>
        <w:t>Банка</w:t>
      </w:r>
      <w:r w:rsidRPr="003801F2">
        <w:rPr>
          <w:rFonts w:ascii="Georgia" w:hAnsi="Georgia" w:cs="Georgia-Bold"/>
          <w:bCs/>
          <w:color w:val="000000"/>
          <w:sz w:val="24"/>
          <w:szCs w:val="24"/>
        </w:rPr>
        <w:t>;</w:t>
      </w:r>
    </w:p>
    <w:p w:rsidR="007D5972" w:rsidRDefault="007D5972" w:rsidP="00F85653">
      <w:pPr>
        <w:pStyle w:val="ae"/>
        <w:numPr>
          <w:ilvl w:val="0"/>
          <w:numId w:val="11"/>
        </w:numPr>
        <w:tabs>
          <w:tab w:val="left" w:pos="284"/>
        </w:tabs>
        <w:spacing w:after="120" w:line="240" w:lineRule="auto"/>
        <w:ind w:left="0" w:firstLine="0"/>
        <w:contextualSpacing w:val="0"/>
        <w:jc w:val="both"/>
        <w:rPr>
          <w:rFonts w:ascii="Georgia" w:hAnsi="Georgia" w:cs="Georgia-Bold"/>
          <w:bCs/>
          <w:color w:val="000000"/>
          <w:sz w:val="24"/>
          <w:szCs w:val="24"/>
        </w:rPr>
      </w:pPr>
      <w:r w:rsidRPr="003801F2">
        <w:rPr>
          <w:rFonts w:ascii="Georgia" w:hAnsi="Georgia" w:cs="Georgia-Bold"/>
          <w:bCs/>
          <w:color w:val="000000"/>
          <w:sz w:val="24"/>
          <w:szCs w:val="24"/>
        </w:rPr>
        <w:t>Утвержденная система методик расчетов уровня рисков по объектам, то есть по видам используемых финансовых инструментов и процессов, включая лимиты рисков, соответствующие как пруденциальным нормам, так и внутренним документам по управлению и принятию рисков;</w:t>
      </w:r>
    </w:p>
    <w:p w:rsidR="007D5972" w:rsidRDefault="007D5972" w:rsidP="00F85653">
      <w:pPr>
        <w:pStyle w:val="ae"/>
        <w:numPr>
          <w:ilvl w:val="0"/>
          <w:numId w:val="11"/>
        </w:numPr>
        <w:tabs>
          <w:tab w:val="left" w:pos="284"/>
        </w:tabs>
        <w:spacing w:after="120" w:line="240" w:lineRule="auto"/>
        <w:ind w:left="0" w:firstLine="0"/>
        <w:contextualSpacing w:val="0"/>
        <w:jc w:val="both"/>
        <w:rPr>
          <w:rFonts w:ascii="Georgia" w:hAnsi="Georgia" w:cs="Georgia-Bold"/>
          <w:bCs/>
          <w:color w:val="000000"/>
          <w:sz w:val="24"/>
          <w:szCs w:val="24"/>
        </w:rPr>
      </w:pPr>
      <w:r w:rsidRPr="003801F2">
        <w:rPr>
          <w:rFonts w:ascii="Georgia" w:hAnsi="Georgia" w:cs="Georgia-Bold"/>
          <w:bCs/>
          <w:color w:val="000000"/>
          <w:sz w:val="24"/>
          <w:szCs w:val="24"/>
        </w:rPr>
        <w:t>Распределение полномочий в управлении рисками;</w:t>
      </w:r>
    </w:p>
    <w:p w:rsidR="007D5972" w:rsidRPr="003801F2" w:rsidRDefault="007D5972" w:rsidP="00F85653">
      <w:pPr>
        <w:pStyle w:val="ae"/>
        <w:numPr>
          <w:ilvl w:val="0"/>
          <w:numId w:val="11"/>
        </w:numPr>
        <w:tabs>
          <w:tab w:val="left" w:pos="284"/>
        </w:tabs>
        <w:spacing w:after="120" w:line="240" w:lineRule="auto"/>
        <w:ind w:left="0" w:firstLine="0"/>
        <w:contextualSpacing w:val="0"/>
        <w:jc w:val="both"/>
        <w:rPr>
          <w:rFonts w:ascii="Georgia" w:hAnsi="Georgia" w:cs="Georgia-Bold"/>
          <w:bCs/>
          <w:color w:val="000000"/>
          <w:sz w:val="24"/>
          <w:szCs w:val="24"/>
        </w:rPr>
      </w:pPr>
      <w:r w:rsidRPr="003801F2">
        <w:rPr>
          <w:rFonts w:ascii="Georgia" w:hAnsi="Georgia" w:cs="Georgia-Bold"/>
          <w:bCs/>
          <w:color w:val="000000"/>
          <w:sz w:val="24"/>
          <w:szCs w:val="24"/>
        </w:rPr>
        <w:t xml:space="preserve">Оценка качества внутренних процессов в функциональных подразделениях по осуществлению мероприятий, направленных на ограничение уровней принимаемых рисков и соблюдение лимитов, своевременное выявление слабостей во внутренних процессах и причин </w:t>
      </w:r>
      <w:r>
        <w:rPr>
          <w:rFonts w:ascii="Georgia" w:hAnsi="Georgia" w:cs="Georgia-Bold"/>
          <w:bCs/>
          <w:color w:val="000000"/>
          <w:sz w:val="24"/>
          <w:szCs w:val="24"/>
        </w:rPr>
        <w:t xml:space="preserve">реализации </w:t>
      </w:r>
      <w:r w:rsidRPr="003801F2">
        <w:rPr>
          <w:rFonts w:ascii="Georgia" w:hAnsi="Georgia" w:cs="Georgia-Bold"/>
          <w:bCs/>
          <w:color w:val="000000"/>
          <w:sz w:val="24"/>
          <w:szCs w:val="24"/>
        </w:rPr>
        <w:t>возможных операционных рисков.</w:t>
      </w:r>
    </w:p>
    <w:p w:rsidR="007D5972" w:rsidRPr="00575CF5" w:rsidRDefault="007D5972" w:rsidP="00F85653">
      <w:pPr>
        <w:tabs>
          <w:tab w:val="left" w:pos="284"/>
          <w:tab w:val="left" w:pos="720"/>
        </w:tabs>
        <w:autoSpaceDE w:val="0"/>
        <w:autoSpaceDN w:val="0"/>
        <w:spacing w:after="120" w:line="240" w:lineRule="auto"/>
        <w:jc w:val="both"/>
        <w:rPr>
          <w:rFonts w:ascii="Georgia" w:hAnsi="Georgia" w:cs="Georgia-Bold"/>
          <w:bCs/>
          <w:color w:val="000000"/>
          <w:sz w:val="24"/>
          <w:szCs w:val="24"/>
        </w:rPr>
      </w:pPr>
      <w:r w:rsidRPr="00575CF5">
        <w:rPr>
          <w:rFonts w:ascii="Georgia" w:hAnsi="Georgia" w:cs="Georgia-Bold"/>
          <w:bCs/>
          <w:color w:val="000000"/>
          <w:sz w:val="24"/>
          <w:szCs w:val="24"/>
        </w:rPr>
        <w:t xml:space="preserve">В целях координации и централизации деятельности по управлению рисками в </w:t>
      </w:r>
      <w:r>
        <w:rPr>
          <w:rFonts w:ascii="Georgia" w:hAnsi="Georgia" w:cs="Georgia-Bold"/>
          <w:bCs/>
          <w:color w:val="000000"/>
          <w:sz w:val="24"/>
          <w:szCs w:val="24"/>
        </w:rPr>
        <w:t>П</w:t>
      </w:r>
      <w:r w:rsidRPr="00575CF5">
        <w:rPr>
          <w:rFonts w:ascii="Georgia" w:hAnsi="Georgia" w:cs="Georgia-Bold"/>
          <w:bCs/>
          <w:color w:val="000000"/>
          <w:sz w:val="24"/>
          <w:szCs w:val="24"/>
        </w:rPr>
        <w:t xml:space="preserve">АО «ИнтехБанк» сформирована </w:t>
      </w:r>
      <w:r w:rsidRPr="00FC6435">
        <w:rPr>
          <w:rFonts w:ascii="Georgia" w:hAnsi="Georgia" w:cs="Georgia-Bold"/>
          <w:b/>
          <w:bCs/>
          <w:i/>
          <w:color w:val="000000"/>
          <w:sz w:val="24"/>
          <w:szCs w:val="24"/>
        </w:rPr>
        <w:t>четырехуровневая система управления рисками</w:t>
      </w:r>
      <w:r w:rsidRPr="00575CF5">
        <w:rPr>
          <w:rFonts w:ascii="Georgia" w:hAnsi="Georgia" w:cs="Georgia-Bold"/>
          <w:bCs/>
          <w:color w:val="000000"/>
          <w:sz w:val="24"/>
          <w:szCs w:val="24"/>
        </w:rPr>
        <w:t>:</w:t>
      </w:r>
    </w:p>
    <w:p w:rsidR="007D5972" w:rsidRPr="00575CF5" w:rsidRDefault="007D5972" w:rsidP="00F85653">
      <w:pPr>
        <w:numPr>
          <w:ilvl w:val="0"/>
          <w:numId w:val="8"/>
        </w:numPr>
        <w:tabs>
          <w:tab w:val="left" w:pos="284"/>
          <w:tab w:val="left" w:pos="720"/>
          <w:tab w:val="num" w:pos="993"/>
          <w:tab w:val="left" w:pos="9072"/>
        </w:tabs>
        <w:spacing w:after="120" w:line="240" w:lineRule="auto"/>
        <w:ind w:left="0" w:firstLine="0"/>
        <w:jc w:val="both"/>
        <w:rPr>
          <w:rFonts w:ascii="Georgia" w:hAnsi="Georgia" w:cs="Georgia-Bold"/>
          <w:bCs/>
          <w:color w:val="000000"/>
          <w:sz w:val="24"/>
          <w:szCs w:val="24"/>
        </w:rPr>
      </w:pPr>
      <w:r w:rsidRPr="00575CF5">
        <w:rPr>
          <w:rFonts w:ascii="Georgia" w:hAnsi="Georgia" w:cs="Georgia-Bold"/>
          <w:bCs/>
          <w:color w:val="000000"/>
          <w:sz w:val="24"/>
          <w:szCs w:val="24"/>
        </w:rPr>
        <w:t>первый уровень управления: Общее собрание акционеров, Совет директоров;</w:t>
      </w:r>
    </w:p>
    <w:p w:rsidR="007D5972" w:rsidRPr="00575CF5" w:rsidRDefault="007D5972" w:rsidP="00F85653">
      <w:pPr>
        <w:numPr>
          <w:ilvl w:val="0"/>
          <w:numId w:val="8"/>
        </w:numPr>
        <w:tabs>
          <w:tab w:val="left" w:pos="284"/>
          <w:tab w:val="left" w:pos="720"/>
          <w:tab w:val="num" w:pos="993"/>
          <w:tab w:val="left" w:pos="9072"/>
        </w:tabs>
        <w:spacing w:after="120" w:line="240" w:lineRule="auto"/>
        <w:ind w:left="0" w:firstLine="0"/>
        <w:jc w:val="both"/>
        <w:rPr>
          <w:rFonts w:ascii="Georgia" w:hAnsi="Georgia" w:cs="Georgia-Bold"/>
          <w:bCs/>
          <w:color w:val="000000"/>
          <w:sz w:val="24"/>
          <w:szCs w:val="24"/>
        </w:rPr>
      </w:pPr>
      <w:r w:rsidRPr="00575CF5">
        <w:rPr>
          <w:rFonts w:ascii="Georgia" w:hAnsi="Georgia" w:cs="Georgia-Bold"/>
          <w:bCs/>
          <w:color w:val="000000"/>
          <w:sz w:val="24"/>
          <w:szCs w:val="24"/>
        </w:rPr>
        <w:t>второй уровень управления: Председатель Правления, Правление, Кредитный комитет; Ресурсный комитет;</w:t>
      </w:r>
    </w:p>
    <w:p w:rsidR="00425E4F" w:rsidRPr="00425E4F" w:rsidRDefault="00425E4F" w:rsidP="00F85653">
      <w:pPr>
        <w:tabs>
          <w:tab w:val="left" w:pos="284"/>
          <w:tab w:val="left" w:pos="720"/>
          <w:tab w:val="num" w:pos="993"/>
          <w:tab w:val="left" w:pos="9072"/>
        </w:tabs>
        <w:spacing w:after="120" w:line="240" w:lineRule="auto"/>
        <w:jc w:val="both"/>
        <w:rPr>
          <w:rFonts w:ascii="Georgia" w:hAnsi="Georgia" w:cs="Georgia-Bold"/>
          <w:bCs/>
          <w:color w:val="000000"/>
          <w:sz w:val="20"/>
          <w:szCs w:val="20"/>
        </w:rPr>
      </w:pPr>
    </w:p>
    <w:p w:rsidR="007D5972" w:rsidRPr="00575CF5" w:rsidRDefault="007D5972" w:rsidP="00F85653">
      <w:pPr>
        <w:numPr>
          <w:ilvl w:val="0"/>
          <w:numId w:val="8"/>
        </w:numPr>
        <w:tabs>
          <w:tab w:val="left" w:pos="284"/>
          <w:tab w:val="left" w:pos="720"/>
          <w:tab w:val="num" w:pos="993"/>
          <w:tab w:val="left" w:pos="9072"/>
        </w:tabs>
        <w:spacing w:after="120" w:line="240" w:lineRule="auto"/>
        <w:ind w:left="0" w:firstLine="0"/>
        <w:jc w:val="both"/>
        <w:rPr>
          <w:rFonts w:ascii="Georgia" w:hAnsi="Georgia" w:cs="Georgia-Bold"/>
          <w:bCs/>
          <w:color w:val="000000"/>
          <w:sz w:val="24"/>
          <w:szCs w:val="24"/>
        </w:rPr>
      </w:pPr>
      <w:r w:rsidRPr="00575CF5">
        <w:rPr>
          <w:rFonts w:ascii="Georgia" w:hAnsi="Georgia" w:cs="Georgia-Bold"/>
          <w:bCs/>
          <w:color w:val="000000"/>
          <w:sz w:val="24"/>
          <w:szCs w:val="24"/>
        </w:rPr>
        <w:t>третий уровень управления: Управление банковских рисков, Служба внутреннего аудита и Служба внутреннего контроля;</w:t>
      </w:r>
    </w:p>
    <w:p w:rsidR="007D5972" w:rsidRPr="00575CF5" w:rsidRDefault="007D5972" w:rsidP="00F85653">
      <w:pPr>
        <w:numPr>
          <w:ilvl w:val="0"/>
          <w:numId w:val="8"/>
        </w:numPr>
        <w:tabs>
          <w:tab w:val="left" w:pos="284"/>
          <w:tab w:val="left" w:pos="720"/>
          <w:tab w:val="num" w:pos="993"/>
          <w:tab w:val="left" w:pos="9072"/>
        </w:tabs>
        <w:spacing w:after="120" w:line="240" w:lineRule="auto"/>
        <w:ind w:left="0" w:firstLine="0"/>
        <w:jc w:val="both"/>
        <w:rPr>
          <w:rFonts w:ascii="Georgia" w:hAnsi="Georgia" w:cs="Georgia-Bold"/>
          <w:bCs/>
          <w:color w:val="000000"/>
          <w:sz w:val="24"/>
          <w:szCs w:val="24"/>
        </w:rPr>
      </w:pPr>
      <w:r w:rsidRPr="00575CF5">
        <w:rPr>
          <w:rFonts w:ascii="Georgia" w:hAnsi="Georgia" w:cs="Georgia-Bold"/>
          <w:bCs/>
          <w:color w:val="000000"/>
          <w:sz w:val="24"/>
          <w:szCs w:val="24"/>
        </w:rPr>
        <w:t>четвертый уровень управления: структурные подразделения Банка (включая филиалы).</w:t>
      </w:r>
    </w:p>
    <w:p w:rsidR="007D5972" w:rsidRPr="00FC6435" w:rsidRDefault="007D5972" w:rsidP="00F85653">
      <w:pPr>
        <w:spacing w:after="120" w:line="240" w:lineRule="auto"/>
        <w:jc w:val="both"/>
        <w:rPr>
          <w:rFonts w:ascii="Georgia" w:hAnsi="Georgia"/>
          <w:b/>
          <w:i/>
          <w:color w:val="365F91" w:themeColor="accent1" w:themeShade="BF"/>
          <w:sz w:val="28"/>
          <w:szCs w:val="24"/>
        </w:rPr>
      </w:pPr>
      <w:r w:rsidRPr="00FC6435">
        <w:rPr>
          <w:rFonts w:ascii="Georgia" w:hAnsi="Georgia"/>
          <w:b/>
          <w:i/>
          <w:color w:val="365F91" w:themeColor="accent1" w:themeShade="BF"/>
          <w:sz w:val="28"/>
          <w:szCs w:val="24"/>
        </w:rPr>
        <w:t>Процедуры управления рисками, методы их оценки и информация</w:t>
      </w:r>
      <w:r>
        <w:rPr>
          <w:rFonts w:ascii="Georgia" w:hAnsi="Georgia"/>
          <w:b/>
          <w:i/>
          <w:color w:val="365F91" w:themeColor="accent1" w:themeShade="BF"/>
          <w:sz w:val="28"/>
          <w:szCs w:val="24"/>
        </w:rPr>
        <w:t xml:space="preserve"> о происшедших в них изменениях</w:t>
      </w:r>
    </w:p>
    <w:p w:rsidR="007D5972"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FC6435">
        <w:rPr>
          <w:rFonts w:ascii="Georgia" w:hAnsi="Georgia" w:cs="Georgia-Bold"/>
          <w:bCs/>
          <w:color w:val="000000"/>
          <w:sz w:val="24"/>
          <w:szCs w:val="24"/>
        </w:rPr>
        <w:t xml:space="preserve">Банк осуществляет управление рисками в ходе постоянного процесса определения, оценки и наблюдения, а также посредством установления лимитов риска и других мер внутреннего контроля. </w:t>
      </w:r>
      <w:r w:rsidRPr="00FC6435">
        <w:rPr>
          <w:rFonts w:ascii="Georgia" w:hAnsi="Georgia" w:cs="Georgia-Bold"/>
          <w:b/>
          <w:bCs/>
          <w:i/>
          <w:color w:val="000000"/>
          <w:sz w:val="24"/>
          <w:szCs w:val="24"/>
        </w:rPr>
        <w:t>Процесс управления рисками</w:t>
      </w:r>
      <w:r w:rsidRPr="00FC6435">
        <w:rPr>
          <w:rFonts w:ascii="Georgia" w:hAnsi="Georgia" w:cs="Georgia-Bold"/>
          <w:bCs/>
          <w:color w:val="000000"/>
          <w:sz w:val="24"/>
          <w:szCs w:val="24"/>
        </w:rPr>
        <w:t xml:space="preserve"> имеет решающее значение для поддержания стабильной деятельности Банка, и каждый отдельный сотрудник Банка несет ответственность за риски, связанные с его обязанностями.</w:t>
      </w:r>
    </w:p>
    <w:p w:rsidR="007D5972" w:rsidRPr="00FC6435"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FC6435">
        <w:rPr>
          <w:rFonts w:ascii="Georgia" w:hAnsi="Georgia" w:cs="Georgia-Bold"/>
          <w:bCs/>
          <w:color w:val="000000"/>
          <w:sz w:val="24"/>
          <w:szCs w:val="24"/>
        </w:rPr>
        <w:t>Главной целью управления банковскими рисками является обеспечение эффективности и результативности финансово-хозяйственной деятельности при совершении банковских операций и других сделок, эффективности управления активами и пассивами, включая обеспечение сохранности активов, управления банковскими рисками, под которым понимается:</w:t>
      </w:r>
    </w:p>
    <w:p w:rsidR="007D5972" w:rsidRPr="00FC6435" w:rsidRDefault="007D5972" w:rsidP="00F85653">
      <w:pPr>
        <w:numPr>
          <w:ilvl w:val="0"/>
          <w:numId w:val="8"/>
        </w:numPr>
        <w:tabs>
          <w:tab w:val="num" w:pos="284"/>
          <w:tab w:val="left" w:pos="9072"/>
        </w:tabs>
        <w:spacing w:after="120" w:line="240" w:lineRule="auto"/>
        <w:ind w:left="0" w:firstLine="0"/>
        <w:jc w:val="both"/>
        <w:rPr>
          <w:rFonts w:ascii="Georgia" w:hAnsi="Georgia" w:cs="Georgia-Bold"/>
          <w:bCs/>
          <w:color w:val="000000"/>
          <w:sz w:val="24"/>
          <w:szCs w:val="24"/>
        </w:rPr>
      </w:pPr>
      <w:r w:rsidRPr="00FC6435">
        <w:rPr>
          <w:rFonts w:ascii="Georgia" w:hAnsi="Georgia" w:cs="Georgia-Bold"/>
          <w:b/>
          <w:bCs/>
          <w:i/>
          <w:color w:val="000000"/>
          <w:sz w:val="24"/>
          <w:szCs w:val="24"/>
        </w:rPr>
        <w:t>выявление, измерение и определение</w:t>
      </w:r>
      <w:r w:rsidRPr="00FC6435">
        <w:rPr>
          <w:rFonts w:ascii="Georgia" w:hAnsi="Georgia" w:cs="Georgia-Bold"/>
          <w:bCs/>
          <w:color w:val="000000"/>
          <w:sz w:val="24"/>
          <w:szCs w:val="24"/>
        </w:rPr>
        <w:t xml:space="preserve"> приемлемого уровня банковских рисков, присущих банковской деятельности</w:t>
      </w:r>
      <w:r>
        <w:rPr>
          <w:rFonts w:ascii="Georgia" w:hAnsi="Georgia" w:cs="Georgia-Bold"/>
          <w:bCs/>
          <w:color w:val="000000"/>
          <w:sz w:val="24"/>
          <w:szCs w:val="24"/>
        </w:rPr>
        <w:t>,</w:t>
      </w:r>
      <w:r w:rsidRPr="00FC6435">
        <w:rPr>
          <w:rFonts w:ascii="Georgia" w:hAnsi="Georgia" w:cs="Georgia-Bold"/>
          <w:bCs/>
          <w:color w:val="000000"/>
          <w:sz w:val="24"/>
          <w:szCs w:val="24"/>
        </w:rPr>
        <w:t xml:space="preserve"> типичных возможностей возникновения </w:t>
      </w:r>
      <w:r>
        <w:rPr>
          <w:rFonts w:ascii="Georgia" w:hAnsi="Georgia" w:cs="Georgia-Bold"/>
          <w:bCs/>
          <w:color w:val="000000"/>
          <w:sz w:val="24"/>
          <w:szCs w:val="24"/>
        </w:rPr>
        <w:t xml:space="preserve">у </w:t>
      </w:r>
      <w:r w:rsidRPr="00FC6435">
        <w:rPr>
          <w:rFonts w:ascii="Georgia" w:hAnsi="Georgia" w:cs="Georgia-Bold"/>
          <w:bCs/>
          <w:color w:val="000000"/>
          <w:sz w:val="24"/>
          <w:szCs w:val="24"/>
        </w:rPr>
        <w:t>Банк</w:t>
      </w:r>
      <w:r>
        <w:rPr>
          <w:rFonts w:ascii="Georgia" w:hAnsi="Georgia" w:cs="Georgia-Bold"/>
          <w:bCs/>
          <w:color w:val="000000"/>
          <w:sz w:val="24"/>
          <w:szCs w:val="24"/>
        </w:rPr>
        <w:t>а</w:t>
      </w:r>
      <w:r w:rsidRPr="00FC6435">
        <w:rPr>
          <w:rFonts w:ascii="Georgia" w:hAnsi="Georgia" w:cs="Georgia-Bold"/>
          <w:bCs/>
          <w:color w:val="000000"/>
          <w:sz w:val="24"/>
          <w:szCs w:val="24"/>
        </w:rPr>
        <w:t xml:space="preserve"> потерь и (или) ухудшения ликвидности вследствие наступления связанных с внутренними и (или) внешними факторами деятельности Банка неблагоприятных событий;</w:t>
      </w:r>
    </w:p>
    <w:p w:rsidR="007D5972" w:rsidRPr="00FC6435" w:rsidRDefault="007D5972" w:rsidP="00F85653">
      <w:pPr>
        <w:numPr>
          <w:ilvl w:val="0"/>
          <w:numId w:val="8"/>
        </w:numPr>
        <w:tabs>
          <w:tab w:val="num" w:pos="284"/>
          <w:tab w:val="left" w:pos="9072"/>
        </w:tabs>
        <w:spacing w:after="120" w:line="240" w:lineRule="auto"/>
        <w:ind w:left="0" w:firstLine="0"/>
        <w:jc w:val="both"/>
        <w:rPr>
          <w:rFonts w:ascii="Georgia" w:hAnsi="Georgia" w:cs="Georgia-Bold"/>
          <w:bCs/>
          <w:color w:val="000000"/>
          <w:sz w:val="24"/>
          <w:szCs w:val="24"/>
        </w:rPr>
      </w:pPr>
      <w:r w:rsidRPr="00FC6435">
        <w:rPr>
          <w:rFonts w:ascii="Georgia" w:hAnsi="Georgia" w:cs="Georgia-Bold"/>
          <w:b/>
          <w:bCs/>
          <w:i/>
          <w:color w:val="000000"/>
          <w:sz w:val="24"/>
          <w:szCs w:val="24"/>
        </w:rPr>
        <w:t>постоянное наблюдение</w:t>
      </w:r>
      <w:r w:rsidRPr="00FC6435">
        <w:rPr>
          <w:rFonts w:ascii="Georgia" w:hAnsi="Georgia" w:cs="Georgia-Bold"/>
          <w:bCs/>
          <w:color w:val="000000"/>
          <w:sz w:val="24"/>
          <w:szCs w:val="24"/>
        </w:rPr>
        <w:t xml:space="preserve"> за банковскими рисками;</w:t>
      </w:r>
    </w:p>
    <w:p w:rsidR="007D5972" w:rsidRPr="00FC6435" w:rsidRDefault="007D5972" w:rsidP="00F85653">
      <w:pPr>
        <w:numPr>
          <w:ilvl w:val="0"/>
          <w:numId w:val="8"/>
        </w:numPr>
        <w:tabs>
          <w:tab w:val="num" w:pos="284"/>
          <w:tab w:val="left" w:pos="9072"/>
        </w:tabs>
        <w:spacing w:after="120" w:line="240" w:lineRule="auto"/>
        <w:ind w:left="0" w:firstLine="0"/>
        <w:jc w:val="both"/>
        <w:rPr>
          <w:rFonts w:ascii="Georgia" w:hAnsi="Georgia" w:cs="Georgia-Bold"/>
          <w:bCs/>
          <w:color w:val="000000"/>
          <w:sz w:val="24"/>
          <w:szCs w:val="24"/>
        </w:rPr>
      </w:pPr>
      <w:r w:rsidRPr="00FC6435">
        <w:rPr>
          <w:rFonts w:ascii="Georgia" w:hAnsi="Georgia" w:cs="Georgia-Bold"/>
          <w:b/>
          <w:bCs/>
          <w:i/>
          <w:color w:val="000000"/>
          <w:sz w:val="24"/>
          <w:szCs w:val="24"/>
        </w:rPr>
        <w:t>принятие мер по поддержанию</w:t>
      </w:r>
      <w:r w:rsidRPr="00FC6435">
        <w:rPr>
          <w:rFonts w:ascii="Georgia" w:hAnsi="Georgia" w:cs="Georgia-Bold"/>
          <w:bCs/>
          <w:color w:val="000000"/>
          <w:sz w:val="24"/>
          <w:szCs w:val="24"/>
        </w:rPr>
        <w:t xml:space="preserve"> на не угрожающем финансовой устойчивости Банка и интересам его кредиторов и вкладчиков уровне банковских рисков.</w:t>
      </w:r>
    </w:p>
    <w:p w:rsidR="007D5972" w:rsidRPr="00FC6435"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FC6435">
        <w:rPr>
          <w:rFonts w:ascii="Georgia" w:hAnsi="Georgia" w:cs="Georgia-Bold"/>
          <w:bCs/>
          <w:color w:val="000000"/>
          <w:sz w:val="24"/>
          <w:szCs w:val="24"/>
        </w:rPr>
        <w:t xml:space="preserve">Определение лимитов риска, обеспечение их соблюдения, оценка принимаемого риска, соблюдение обязательных нормативов, установленных Банком России, служат основой для построения </w:t>
      </w:r>
      <w:r w:rsidRPr="00CD4979">
        <w:rPr>
          <w:rFonts w:ascii="Georgia" w:hAnsi="Georgia" w:cs="Georgia-Bold"/>
          <w:b/>
          <w:bCs/>
          <w:i/>
          <w:color w:val="000000"/>
          <w:sz w:val="24"/>
          <w:szCs w:val="24"/>
        </w:rPr>
        <w:t>эффективной системы управления рисками</w:t>
      </w:r>
      <w:r w:rsidRPr="00FC6435">
        <w:rPr>
          <w:rFonts w:ascii="Georgia" w:hAnsi="Georgia" w:cs="Georgia-Bold"/>
          <w:bCs/>
          <w:color w:val="000000"/>
          <w:sz w:val="24"/>
          <w:szCs w:val="24"/>
        </w:rPr>
        <w:t>.</w:t>
      </w:r>
    </w:p>
    <w:p w:rsidR="007D5972" w:rsidRPr="00FC6435"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Pr>
          <w:rFonts w:ascii="Georgia" w:hAnsi="Georgia" w:cs="Georgia-Bold"/>
          <w:bCs/>
          <w:color w:val="000000"/>
          <w:sz w:val="24"/>
          <w:szCs w:val="24"/>
        </w:rPr>
        <w:t>П</w:t>
      </w:r>
      <w:r w:rsidRPr="00FC6435">
        <w:rPr>
          <w:rFonts w:ascii="Georgia" w:hAnsi="Georgia" w:cs="Georgia-Bold"/>
          <w:bCs/>
          <w:color w:val="000000"/>
          <w:sz w:val="24"/>
          <w:szCs w:val="24"/>
        </w:rPr>
        <w:t>АО «ИнтехБанк» оценивает риски в соответствии с требованиями Банка России. Банк разрабатывает внутренние методы оценки рисков, учитывая рекомендации Базельского комитета по банковскому надзору, проводит стресс-тесты и моделирует «наихудшие сценарии». Для оценки факторов риска в Банке используется метод качественного измерения факторов риска, базирующийся на оценке вероятности проявления фактора и качественной оценке возможных последствий реализации риска.</w:t>
      </w:r>
    </w:p>
    <w:p w:rsidR="007D5972" w:rsidRPr="00FC6435"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FC6435">
        <w:rPr>
          <w:rFonts w:ascii="Georgia" w:hAnsi="Georgia" w:cs="Georgia-Bold"/>
          <w:bCs/>
          <w:color w:val="000000"/>
          <w:sz w:val="24"/>
          <w:szCs w:val="24"/>
        </w:rPr>
        <w:t>Используемые Банком методы оценки факторов риска могут изменяться в зависимости от степени развития системы управления рисками в Банке и при изменении политики управления разными типами рисков.</w:t>
      </w:r>
    </w:p>
    <w:p w:rsidR="007D5972"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FC6435">
        <w:rPr>
          <w:rFonts w:ascii="Georgia" w:hAnsi="Georgia" w:cs="Georgia-Bold"/>
          <w:bCs/>
          <w:color w:val="000000"/>
          <w:sz w:val="24"/>
          <w:szCs w:val="24"/>
        </w:rPr>
        <w:t xml:space="preserve">Мониторинг и контроль рисков основывается, главным образом, на установленных Банком </w:t>
      </w:r>
      <w:r w:rsidRPr="00CD4979">
        <w:rPr>
          <w:rFonts w:ascii="Georgia" w:hAnsi="Georgia" w:cs="Georgia-Bold"/>
          <w:b/>
          <w:bCs/>
          <w:i/>
          <w:color w:val="000000"/>
          <w:sz w:val="24"/>
          <w:szCs w:val="24"/>
        </w:rPr>
        <w:t>лимитах</w:t>
      </w:r>
      <w:r w:rsidRPr="00FC6435">
        <w:rPr>
          <w:rFonts w:ascii="Georgia" w:hAnsi="Georgia" w:cs="Georgia-Bold"/>
          <w:bCs/>
          <w:color w:val="000000"/>
          <w:sz w:val="24"/>
          <w:szCs w:val="24"/>
        </w:rPr>
        <w:t xml:space="preserve">. Такие лимиты отражают стратегию ведения деятельности и рыночные условия, в которых функционирует </w:t>
      </w:r>
      <w:r w:rsidRPr="00374BD0">
        <w:rPr>
          <w:rFonts w:ascii="Georgia" w:hAnsi="Georgia" w:cs="Georgia-Bold"/>
          <w:bCs/>
          <w:color w:val="000000"/>
        </w:rPr>
        <w:t>Банк, а также уровень риска, который Банк готов принять. Кроме этого,</w:t>
      </w:r>
      <w:r w:rsidRPr="00FC6435">
        <w:rPr>
          <w:rFonts w:ascii="Georgia" w:hAnsi="Georgia" w:cs="Georgia-Bold"/>
          <w:bCs/>
          <w:color w:val="000000"/>
          <w:sz w:val="24"/>
          <w:szCs w:val="24"/>
        </w:rPr>
        <w:t xml:space="preserve"> Банк контролирует и оценивает свою общую способность нести риски в </w:t>
      </w:r>
      <w:r w:rsidRPr="00FC6435">
        <w:rPr>
          <w:rFonts w:ascii="Georgia" w:hAnsi="Georgia" w:cs="Georgia-Bold"/>
          <w:bCs/>
          <w:color w:val="000000"/>
          <w:sz w:val="24"/>
          <w:szCs w:val="24"/>
        </w:rPr>
        <w:lastRenderedPageBreak/>
        <w:t>отношении совокупной позиции по всем видам рисков и операций.</w:t>
      </w:r>
    </w:p>
    <w:p w:rsidR="00EE317B" w:rsidRPr="00425E4F" w:rsidRDefault="00EE317B" w:rsidP="00F85653">
      <w:pPr>
        <w:tabs>
          <w:tab w:val="left" w:pos="567"/>
        </w:tabs>
        <w:autoSpaceDE w:val="0"/>
        <w:autoSpaceDN w:val="0"/>
        <w:spacing w:after="120" w:line="240" w:lineRule="auto"/>
        <w:jc w:val="both"/>
        <w:rPr>
          <w:rFonts w:ascii="Georgia" w:hAnsi="Georgia"/>
          <w:b/>
          <w:i/>
          <w:color w:val="365F91" w:themeColor="accent1" w:themeShade="BF"/>
          <w:sz w:val="20"/>
          <w:szCs w:val="20"/>
        </w:rPr>
      </w:pPr>
    </w:p>
    <w:p w:rsidR="007D5972" w:rsidRPr="00163B1E" w:rsidRDefault="007D5972" w:rsidP="00F85653">
      <w:pPr>
        <w:tabs>
          <w:tab w:val="left" w:pos="567"/>
        </w:tabs>
        <w:autoSpaceDE w:val="0"/>
        <w:autoSpaceDN w:val="0"/>
        <w:spacing w:after="120" w:line="240" w:lineRule="auto"/>
        <w:jc w:val="both"/>
        <w:rPr>
          <w:rFonts w:ascii="Georgia" w:hAnsi="Georgia"/>
          <w:b/>
          <w:i/>
          <w:color w:val="365F91" w:themeColor="accent1" w:themeShade="BF"/>
          <w:sz w:val="28"/>
          <w:szCs w:val="24"/>
        </w:rPr>
      </w:pPr>
      <w:r w:rsidRPr="00163B1E">
        <w:rPr>
          <w:rFonts w:ascii="Georgia" w:hAnsi="Georgia"/>
          <w:b/>
          <w:i/>
          <w:color w:val="365F91" w:themeColor="accent1" w:themeShade="BF"/>
          <w:sz w:val="28"/>
          <w:szCs w:val="24"/>
        </w:rPr>
        <w:t>Управление основными видами рисков</w:t>
      </w:r>
    </w:p>
    <w:p w:rsidR="007D5972"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Основным видом риска для Банка является </w:t>
      </w:r>
      <w:r w:rsidRPr="00163B1E">
        <w:rPr>
          <w:rFonts w:ascii="Georgia" w:hAnsi="Georgia" w:cs="Georgia-Bold"/>
          <w:b/>
          <w:bCs/>
          <w:i/>
          <w:color w:val="000000"/>
          <w:sz w:val="24"/>
          <w:szCs w:val="24"/>
        </w:rPr>
        <w:t>кредитный риск</w:t>
      </w:r>
      <w:r w:rsidRPr="00163B1E">
        <w:rPr>
          <w:rFonts w:ascii="Georgia" w:hAnsi="Georgia" w:cs="Georgia-Bold"/>
          <w:bCs/>
          <w:color w:val="000000"/>
          <w:sz w:val="24"/>
          <w:szCs w:val="24"/>
        </w:rPr>
        <w:t xml:space="preserve">, управление которым основывается на Кредитной политике, Положениях «Об организации управления кредитным риском в ОАО «ИнтехБанк», «О порядке формирования резервов на возможные потери по ссудной и приравненной к ней задолженности в </w:t>
      </w:r>
      <w:r>
        <w:rPr>
          <w:rFonts w:ascii="Georgia" w:hAnsi="Georgia" w:cs="Georgia-Bold"/>
          <w:bCs/>
          <w:color w:val="000000"/>
          <w:sz w:val="24"/>
          <w:szCs w:val="24"/>
        </w:rPr>
        <w:t>П</w:t>
      </w:r>
      <w:r w:rsidRPr="00163B1E">
        <w:rPr>
          <w:rFonts w:ascii="Georgia" w:hAnsi="Georgia" w:cs="Georgia-Bold"/>
          <w:bCs/>
          <w:color w:val="000000"/>
          <w:sz w:val="24"/>
          <w:szCs w:val="24"/>
        </w:rPr>
        <w:t xml:space="preserve">АО «ИнтехБанк», утвержденных Советом директоров. При формировании кредитного портфеля Банка особое значение уделяется совершенствованию системы оценки финансового состояния заемщика, обеспечения, переданного в залог и </w:t>
      </w:r>
      <w:r>
        <w:rPr>
          <w:rFonts w:ascii="Georgia" w:hAnsi="Georgia" w:cs="Georgia-Bold"/>
          <w:bCs/>
          <w:color w:val="000000"/>
          <w:sz w:val="24"/>
          <w:szCs w:val="24"/>
        </w:rPr>
        <w:t>качества</w:t>
      </w:r>
      <w:r w:rsidRPr="00163B1E">
        <w:rPr>
          <w:rFonts w:ascii="Georgia" w:hAnsi="Georgia" w:cs="Georgia-Bold"/>
          <w:bCs/>
          <w:color w:val="000000"/>
          <w:sz w:val="24"/>
          <w:szCs w:val="24"/>
        </w:rPr>
        <w:t xml:space="preserve"> обслуживания долга. Кроме того, основным принципом формирования кредитного портфеля Банка является соблюдение нормативов, установленных действующим законодательством РФ, ограничивающих кредитный риск. </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Pr>
          <w:rFonts w:ascii="Georgia" w:hAnsi="Georgia" w:cs="Georgia-Bold"/>
          <w:bCs/>
          <w:color w:val="000000"/>
          <w:sz w:val="24"/>
          <w:szCs w:val="24"/>
        </w:rPr>
        <w:t xml:space="preserve">В целях управления </w:t>
      </w:r>
      <w:r>
        <w:rPr>
          <w:rFonts w:ascii="Georgia" w:hAnsi="Georgia" w:cs="Georgia-Bold"/>
          <w:b/>
          <w:bCs/>
          <w:i/>
          <w:color w:val="000000"/>
          <w:sz w:val="24"/>
          <w:szCs w:val="24"/>
        </w:rPr>
        <w:t>с</w:t>
      </w:r>
      <w:r w:rsidRPr="00EC3704">
        <w:rPr>
          <w:rFonts w:ascii="Georgia" w:hAnsi="Georgia" w:cs="Georgia-Bold"/>
          <w:b/>
          <w:bCs/>
          <w:i/>
          <w:color w:val="000000"/>
          <w:sz w:val="24"/>
          <w:szCs w:val="24"/>
        </w:rPr>
        <w:t>тратегически</w:t>
      </w:r>
      <w:r>
        <w:rPr>
          <w:rFonts w:ascii="Georgia" w:hAnsi="Georgia" w:cs="Georgia-Bold"/>
          <w:b/>
          <w:bCs/>
          <w:i/>
          <w:color w:val="000000"/>
          <w:sz w:val="24"/>
          <w:szCs w:val="24"/>
        </w:rPr>
        <w:t>м</w:t>
      </w:r>
      <w:r w:rsidRPr="00EC3704">
        <w:rPr>
          <w:rFonts w:ascii="Georgia" w:hAnsi="Georgia" w:cs="Georgia-Bold"/>
          <w:b/>
          <w:bCs/>
          <w:i/>
          <w:color w:val="000000"/>
          <w:sz w:val="24"/>
          <w:szCs w:val="24"/>
        </w:rPr>
        <w:t xml:space="preserve"> риск</w:t>
      </w:r>
      <w:r>
        <w:rPr>
          <w:rFonts w:ascii="Georgia" w:hAnsi="Georgia" w:cs="Georgia-Bold"/>
          <w:b/>
          <w:bCs/>
          <w:i/>
          <w:color w:val="000000"/>
          <w:sz w:val="24"/>
          <w:szCs w:val="24"/>
        </w:rPr>
        <w:t>ом</w:t>
      </w:r>
      <w:r w:rsidRPr="00EC3704">
        <w:rPr>
          <w:rFonts w:ascii="Georgia" w:hAnsi="Georgia" w:cs="Georgia-Bold"/>
          <w:bCs/>
          <w:color w:val="000000"/>
          <w:sz w:val="24"/>
          <w:szCs w:val="24"/>
        </w:rPr>
        <w:t xml:space="preserve"> </w:t>
      </w:r>
      <w:r>
        <w:rPr>
          <w:rFonts w:ascii="Georgia" w:hAnsi="Georgia" w:cs="Georgia-Bold"/>
          <w:bCs/>
          <w:color w:val="000000"/>
          <w:sz w:val="24"/>
          <w:szCs w:val="24"/>
        </w:rPr>
        <w:t xml:space="preserve">осуществляются </w:t>
      </w:r>
      <w:r w:rsidRPr="00EC3704">
        <w:rPr>
          <w:rFonts w:ascii="Georgia" w:hAnsi="Georgia" w:cs="Georgia-Bold"/>
          <w:bCs/>
          <w:color w:val="000000"/>
          <w:sz w:val="24"/>
          <w:szCs w:val="24"/>
        </w:rPr>
        <w:t>разграничение полномочий органов управления по принятию решений, мониторинг рынка банковских услуг с целью выявления вероятных новых направлений деятельности Банка и постановки новых стратегических задач, повышение квалификации сотрудников Банка, правильная организация внешнего аудита, системы внешнего и внутреннего контроля.</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Управление </w:t>
      </w:r>
      <w:r w:rsidRPr="00163B1E">
        <w:rPr>
          <w:rFonts w:ascii="Georgia" w:hAnsi="Georgia" w:cs="Georgia-Bold"/>
          <w:b/>
          <w:bCs/>
          <w:i/>
          <w:color w:val="000000"/>
          <w:sz w:val="24"/>
          <w:szCs w:val="24"/>
        </w:rPr>
        <w:t>процентным риском</w:t>
      </w:r>
      <w:r w:rsidRPr="00163B1E">
        <w:rPr>
          <w:rFonts w:ascii="Georgia" w:hAnsi="Georgia" w:cs="Georgia-Bold"/>
          <w:bCs/>
          <w:color w:val="000000"/>
          <w:sz w:val="24"/>
          <w:szCs w:val="24"/>
        </w:rPr>
        <w:t xml:space="preserve"> проводится путем прогноза чистого процентного дохода банка и своевременной корректировкой процентных ставок по привлекаемым и размещаемым ресурсам.</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В целях управления </w:t>
      </w:r>
      <w:r w:rsidRPr="00163B1E">
        <w:rPr>
          <w:rFonts w:ascii="Georgia" w:hAnsi="Georgia" w:cs="Georgia-Bold"/>
          <w:b/>
          <w:bCs/>
          <w:i/>
          <w:color w:val="000000"/>
          <w:sz w:val="24"/>
          <w:szCs w:val="24"/>
        </w:rPr>
        <w:t>валютным риском</w:t>
      </w:r>
      <w:r w:rsidRPr="00163B1E">
        <w:rPr>
          <w:rFonts w:ascii="Georgia" w:hAnsi="Georgia" w:cs="Georgia-Bold"/>
          <w:bCs/>
          <w:color w:val="000000"/>
          <w:sz w:val="24"/>
          <w:szCs w:val="24"/>
        </w:rPr>
        <w:t xml:space="preserve"> в Банке регулярно проводят оценку валютного риска по открытым позициям в иностранной валюте </w:t>
      </w:r>
      <w:r>
        <w:rPr>
          <w:rFonts w:ascii="Georgia" w:hAnsi="Georgia" w:cs="Georgia-Bold"/>
          <w:bCs/>
          <w:color w:val="000000"/>
          <w:sz w:val="24"/>
          <w:szCs w:val="24"/>
        </w:rPr>
        <w:t xml:space="preserve">путем </w:t>
      </w:r>
      <w:r w:rsidRPr="00163B1E">
        <w:rPr>
          <w:rFonts w:ascii="Georgia" w:hAnsi="Georgia" w:cs="Georgia-Bold"/>
          <w:bCs/>
          <w:color w:val="000000"/>
          <w:sz w:val="24"/>
          <w:szCs w:val="24"/>
        </w:rPr>
        <w:t>изучени</w:t>
      </w:r>
      <w:r>
        <w:rPr>
          <w:rFonts w:ascii="Georgia" w:hAnsi="Georgia" w:cs="Georgia-Bold"/>
          <w:bCs/>
          <w:color w:val="000000"/>
          <w:sz w:val="24"/>
          <w:szCs w:val="24"/>
        </w:rPr>
        <w:t>я</w:t>
      </w:r>
      <w:r w:rsidRPr="00163B1E">
        <w:rPr>
          <w:rFonts w:ascii="Georgia" w:hAnsi="Georgia" w:cs="Georgia-Bold"/>
          <w:bCs/>
          <w:color w:val="000000"/>
          <w:sz w:val="24"/>
          <w:szCs w:val="24"/>
        </w:rPr>
        <w:t xml:space="preserve"> прогнозов крупнейших банков, графиков технического анализа, опубликованных данных по инфляции.</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По текущим операциям Банк осуществляет управление валютным риском через установление лимитов открытой валютной позиции в рамках соответствующих нормативов Банка России</w:t>
      </w:r>
      <w:r>
        <w:rPr>
          <w:rFonts w:ascii="Georgia" w:hAnsi="Georgia" w:cs="Georgia-Bold"/>
          <w:bCs/>
          <w:color w:val="000000"/>
          <w:sz w:val="24"/>
          <w:szCs w:val="24"/>
        </w:rPr>
        <w:t>;</w:t>
      </w:r>
      <w:r w:rsidRPr="00163B1E">
        <w:rPr>
          <w:rFonts w:ascii="Georgia" w:hAnsi="Georgia" w:cs="Georgia-Bold"/>
          <w:bCs/>
          <w:color w:val="000000"/>
          <w:sz w:val="24"/>
          <w:szCs w:val="24"/>
        </w:rPr>
        <w:t xml:space="preserve"> кроме того, для сокращения валютного риска устанавливаются ограничения по суммам и срокам операций в иностранных валютах, проводимым одним дилером в один день</w:t>
      </w:r>
      <w:r>
        <w:rPr>
          <w:rFonts w:ascii="Georgia" w:hAnsi="Georgia" w:cs="Georgia-Bold"/>
          <w:bCs/>
          <w:color w:val="000000"/>
          <w:sz w:val="24"/>
          <w:szCs w:val="24"/>
        </w:rPr>
        <w:t>,</w:t>
      </w:r>
      <w:r w:rsidRPr="00163B1E">
        <w:rPr>
          <w:rFonts w:ascii="Georgia" w:hAnsi="Georgia" w:cs="Georgia-Bold"/>
          <w:bCs/>
          <w:color w:val="000000"/>
          <w:sz w:val="24"/>
          <w:szCs w:val="24"/>
        </w:rPr>
        <w:t xml:space="preserve"> а также срок действия лимита. Всё это позволяет Банку минимизировать убытки от колебаний обменных курсов национальной и иностранн</w:t>
      </w:r>
      <w:r>
        <w:rPr>
          <w:rFonts w:ascii="Georgia" w:hAnsi="Georgia" w:cs="Georgia-Bold"/>
          <w:bCs/>
          <w:color w:val="000000"/>
          <w:sz w:val="24"/>
          <w:szCs w:val="24"/>
        </w:rPr>
        <w:t>ых</w:t>
      </w:r>
      <w:r w:rsidRPr="00163B1E">
        <w:rPr>
          <w:rFonts w:ascii="Georgia" w:hAnsi="Georgia" w:cs="Georgia-Bold"/>
          <w:bCs/>
          <w:color w:val="000000"/>
          <w:sz w:val="24"/>
          <w:szCs w:val="24"/>
        </w:rPr>
        <w:t xml:space="preserve"> валют.</w:t>
      </w:r>
    </w:p>
    <w:p w:rsidR="007D5972"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В Положении «Об оценке и управлении ликвидностью ОАО «ИнтехБанк» закреплена процедура оценки и анализа </w:t>
      </w:r>
      <w:r w:rsidRPr="00163B1E">
        <w:rPr>
          <w:rFonts w:ascii="Georgia" w:hAnsi="Georgia" w:cs="Georgia-Bold"/>
          <w:b/>
          <w:bCs/>
          <w:i/>
          <w:color w:val="000000"/>
          <w:sz w:val="24"/>
          <w:szCs w:val="24"/>
        </w:rPr>
        <w:t>риска ликвидности</w:t>
      </w:r>
      <w:r w:rsidRPr="00163B1E">
        <w:rPr>
          <w:rFonts w:ascii="Georgia" w:hAnsi="Georgia" w:cs="Georgia-Bold"/>
          <w:bCs/>
          <w:color w:val="000000"/>
          <w:sz w:val="24"/>
          <w:szCs w:val="24"/>
        </w:rPr>
        <w:t xml:space="preserve">, пересмотр которой осуществляется в банке по мере необходимости, в связи с изменением экономической ситуации, объёмом осуществляемых Банком операций, а также при изменении нормативных и законодательных актов. Управление ликвидностью осуществляется ежедневно и производится на основе анализа потоков денежных средств с учетом реальных сроков реализации активов, востребования и погашения обязательств. Кроме того, ежедневно планируется потребность в ликвидных средствах, разрабатываются и принимаются меры для реструктуризации ресурсов при недостаточной ликвидности. Организация эффективного управления и контроля за ликвидностью в Банке осуществляется в соответствии с рекомендациями Банка России по анализу ликвидности и с требованием ежедневного выполнения установленных нормативов ликвидности </w:t>
      </w:r>
      <w:r w:rsidRPr="00163B1E">
        <w:rPr>
          <w:rFonts w:ascii="Georgia" w:hAnsi="Georgia" w:cs="Georgia-Bold"/>
          <w:bCs/>
          <w:color w:val="000000"/>
          <w:sz w:val="24"/>
          <w:szCs w:val="24"/>
        </w:rPr>
        <w:lastRenderedPageBreak/>
        <w:t>кредитных организаций.</w:t>
      </w:r>
    </w:p>
    <w:p w:rsidR="00425E4F" w:rsidRPr="00425E4F" w:rsidRDefault="00425E4F" w:rsidP="00F85653">
      <w:pPr>
        <w:tabs>
          <w:tab w:val="left" w:pos="567"/>
        </w:tabs>
        <w:autoSpaceDE w:val="0"/>
        <w:autoSpaceDN w:val="0"/>
        <w:spacing w:after="120" w:line="240" w:lineRule="auto"/>
        <w:jc w:val="both"/>
        <w:rPr>
          <w:rFonts w:ascii="Georgia" w:hAnsi="Georgia" w:cs="Georgia-Bold"/>
          <w:bCs/>
          <w:color w:val="000000"/>
          <w:sz w:val="20"/>
          <w:szCs w:val="20"/>
        </w:rPr>
      </w:pP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Банк регулярно осуществляет мониторинг </w:t>
      </w:r>
      <w:r w:rsidRPr="00163B1E">
        <w:rPr>
          <w:rFonts w:ascii="Georgia" w:hAnsi="Georgia" w:cs="Georgia-Bold"/>
          <w:b/>
          <w:bCs/>
          <w:i/>
          <w:color w:val="000000"/>
          <w:sz w:val="24"/>
          <w:szCs w:val="24"/>
        </w:rPr>
        <w:t>операционного риска</w:t>
      </w:r>
      <w:r w:rsidRPr="00163B1E">
        <w:rPr>
          <w:rFonts w:ascii="Georgia" w:hAnsi="Georgia" w:cs="Georgia-Bold"/>
          <w:bCs/>
          <w:color w:val="000000"/>
          <w:sz w:val="24"/>
          <w:szCs w:val="24"/>
        </w:rPr>
        <w:t xml:space="preserve"> и потерь от его наступления с целью создания многоступенчатой системы контроля за данным видом риска при совершении операций и сделок на всех стадиях. Данная система позволит снизить вероятность наступления рисков в будущем, обеспечивая выявление процессов и отдельных операций, на которых в наибольшей степени концентрируются источники риска. Мероприятия по минимизации операционных рисков проводятся в соответствии с утвержденными внутренними положениями, в том числе регламентирующими порядок организации деятельности </w:t>
      </w:r>
      <w:r>
        <w:rPr>
          <w:rFonts w:ascii="Georgia" w:hAnsi="Georgia" w:cs="Georgia-Bold"/>
          <w:bCs/>
          <w:color w:val="000000"/>
          <w:sz w:val="24"/>
          <w:szCs w:val="24"/>
        </w:rPr>
        <w:t>Б</w:t>
      </w:r>
      <w:r w:rsidRPr="00163B1E">
        <w:rPr>
          <w:rFonts w:ascii="Georgia" w:hAnsi="Georgia" w:cs="Georgia-Bold"/>
          <w:bCs/>
          <w:color w:val="000000"/>
          <w:sz w:val="24"/>
          <w:szCs w:val="24"/>
        </w:rPr>
        <w:t xml:space="preserve">анка с целью обеспечения сохранности информации и обеспечения ее безопасности, для осуществления надлежащего внутреннего контроля, управления и обеспечения эффективности технологии осуществления всех видов деятельности, а также восстановления работоспособности информационных систем в случае возникновения непредвиденных обстоятельств. </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Снижение </w:t>
      </w:r>
      <w:r w:rsidRPr="00163B1E">
        <w:rPr>
          <w:rFonts w:ascii="Georgia" w:hAnsi="Georgia" w:cs="Georgia-Bold"/>
          <w:b/>
          <w:bCs/>
          <w:i/>
          <w:color w:val="000000"/>
          <w:sz w:val="24"/>
          <w:szCs w:val="24"/>
        </w:rPr>
        <w:t>риска потери деловой репутации</w:t>
      </w:r>
      <w:r w:rsidRPr="00163B1E">
        <w:rPr>
          <w:rFonts w:ascii="Georgia" w:hAnsi="Georgia" w:cs="Georgia-Bold"/>
          <w:bCs/>
          <w:color w:val="000000"/>
          <w:sz w:val="24"/>
          <w:szCs w:val="24"/>
        </w:rPr>
        <w:t xml:space="preserve"> осуществляется за счет соблюдения Банком нормативных правовых актов Банка России, учредительных и внутренних документов, норм делового оборота, реализации программ повышения лояльности клиентов и контрагентов, принятия адекватных мер при возникновении жалоб и обращений клиентов, связанных с организацией работы Банка и другими факторами риска. Для создания позитивного имиджа Банка в обществе и формирования лояльного отношения к Банку его клиентов и контрагентов Банком постоянно совершенствуется система раскрытия информации в целях обеспечения надлежащей полноты и качества раскрытия информации о Банке. </w:t>
      </w:r>
    </w:p>
    <w:p w:rsidR="007D5972"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sidRPr="00163B1E">
        <w:rPr>
          <w:rFonts w:ascii="Georgia" w:hAnsi="Georgia" w:cs="Georgia-Bold"/>
          <w:bCs/>
          <w:color w:val="000000"/>
          <w:sz w:val="24"/>
          <w:szCs w:val="24"/>
        </w:rPr>
        <w:t xml:space="preserve">В целях минимизации </w:t>
      </w:r>
      <w:r w:rsidRPr="00EC3704">
        <w:rPr>
          <w:rFonts w:ascii="Georgia" w:hAnsi="Georgia" w:cs="Georgia-Bold"/>
          <w:b/>
          <w:bCs/>
          <w:i/>
          <w:color w:val="000000"/>
          <w:sz w:val="24"/>
          <w:szCs w:val="24"/>
        </w:rPr>
        <w:t>комплаенс-риска</w:t>
      </w:r>
      <w:r>
        <w:rPr>
          <w:rFonts w:ascii="Georgia" w:hAnsi="Georgia" w:cs="Georgia-Bold"/>
          <w:bCs/>
          <w:color w:val="000000"/>
          <w:sz w:val="24"/>
          <w:szCs w:val="24"/>
        </w:rPr>
        <w:t xml:space="preserve"> и </w:t>
      </w:r>
      <w:r w:rsidRPr="00163B1E">
        <w:rPr>
          <w:rFonts w:ascii="Georgia" w:hAnsi="Georgia" w:cs="Georgia-Bold"/>
          <w:b/>
          <w:bCs/>
          <w:i/>
          <w:color w:val="000000"/>
          <w:sz w:val="24"/>
          <w:szCs w:val="24"/>
        </w:rPr>
        <w:t>правового риска</w:t>
      </w:r>
      <w:r w:rsidRPr="00163B1E">
        <w:rPr>
          <w:rFonts w:ascii="Georgia" w:hAnsi="Georgia" w:cs="Georgia-Bold"/>
          <w:bCs/>
          <w:color w:val="000000"/>
          <w:sz w:val="24"/>
          <w:szCs w:val="24"/>
        </w:rPr>
        <w:t xml:space="preserve"> Банком</w:t>
      </w:r>
      <w:r>
        <w:rPr>
          <w:rFonts w:ascii="Georgia" w:hAnsi="Georgia" w:cs="Georgia-Bold"/>
          <w:bCs/>
          <w:color w:val="000000"/>
          <w:sz w:val="24"/>
          <w:szCs w:val="24"/>
        </w:rPr>
        <w:t xml:space="preserve">: </w:t>
      </w:r>
      <w:r w:rsidRPr="00163B1E">
        <w:rPr>
          <w:rFonts w:ascii="Georgia" w:hAnsi="Georgia" w:cs="Georgia-Bold"/>
          <w:bCs/>
          <w:color w:val="000000"/>
          <w:sz w:val="24"/>
          <w:szCs w:val="24"/>
        </w:rPr>
        <w:t xml:space="preserve"> </w:t>
      </w:r>
    </w:p>
    <w:p w:rsidR="007D5972" w:rsidRPr="00163B1E" w:rsidRDefault="007D5972" w:rsidP="00F85653">
      <w:pPr>
        <w:tabs>
          <w:tab w:val="left" w:pos="567"/>
        </w:tabs>
        <w:autoSpaceDE w:val="0"/>
        <w:autoSpaceDN w:val="0"/>
        <w:spacing w:after="120" w:line="240" w:lineRule="auto"/>
        <w:jc w:val="both"/>
        <w:rPr>
          <w:rFonts w:ascii="Georgia" w:hAnsi="Georgia" w:cs="Georgia-Bold"/>
          <w:bCs/>
          <w:color w:val="000000"/>
          <w:sz w:val="24"/>
          <w:szCs w:val="24"/>
        </w:rPr>
      </w:pPr>
      <w:r>
        <w:rPr>
          <w:rFonts w:ascii="Georgia" w:hAnsi="Georgia" w:cs="Georgia-Bold"/>
          <w:bCs/>
          <w:color w:val="000000"/>
          <w:sz w:val="24"/>
          <w:szCs w:val="24"/>
        </w:rPr>
        <w:t xml:space="preserve">- </w:t>
      </w:r>
      <w:r w:rsidRPr="00163B1E">
        <w:rPr>
          <w:rFonts w:ascii="Georgia" w:hAnsi="Georgia" w:cs="Georgia-Bold"/>
          <w:bCs/>
          <w:color w:val="000000"/>
          <w:sz w:val="24"/>
          <w:szCs w:val="24"/>
        </w:rPr>
        <w:t>провод</w:t>
      </w:r>
      <w:r>
        <w:rPr>
          <w:rFonts w:ascii="Georgia" w:hAnsi="Georgia" w:cs="Georgia-Bold"/>
          <w:bCs/>
          <w:color w:val="000000"/>
          <w:sz w:val="24"/>
          <w:szCs w:val="24"/>
        </w:rPr>
        <w:t>я</w:t>
      </w:r>
      <w:r w:rsidRPr="00163B1E">
        <w:rPr>
          <w:rFonts w:ascii="Georgia" w:hAnsi="Georgia" w:cs="Georgia-Bold"/>
          <w:bCs/>
          <w:color w:val="000000"/>
          <w:sz w:val="24"/>
          <w:szCs w:val="24"/>
        </w:rPr>
        <w:t xml:space="preserve">тся </w:t>
      </w:r>
      <w:r w:rsidRPr="00EC3704">
        <w:rPr>
          <w:rFonts w:ascii="Georgia" w:hAnsi="Georgia" w:cs="Georgia-Bold"/>
          <w:bCs/>
          <w:color w:val="000000"/>
          <w:sz w:val="24"/>
          <w:szCs w:val="24"/>
        </w:rPr>
        <w:t>стандартизация банковских операций, унификаци</w:t>
      </w:r>
      <w:r>
        <w:rPr>
          <w:rFonts w:ascii="Georgia" w:hAnsi="Georgia" w:cs="Georgia-Bold"/>
          <w:bCs/>
          <w:color w:val="000000"/>
          <w:sz w:val="24"/>
          <w:szCs w:val="24"/>
        </w:rPr>
        <w:t>я</w:t>
      </w:r>
      <w:r w:rsidRPr="00EC3704">
        <w:rPr>
          <w:rFonts w:ascii="Georgia" w:hAnsi="Georgia" w:cs="Georgia-Bold"/>
          <w:bCs/>
          <w:color w:val="000000"/>
          <w:sz w:val="24"/>
          <w:szCs w:val="24"/>
        </w:rPr>
        <w:t xml:space="preserve"> нормативной и договорной базы Банка</w:t>
      </w:r>
      <w:r>
        <w:rPr>
          <w:rFonts w:ascii="Georgia" w:hAnsi="Georgia" w:cs="Georgia-Bold"/>
          <w:bCs/>
          <w:color w:val="000000"/>
          <w:sz w:val="24"/>
          <w:szCs w:val="24"/>
        </w:rPr>
        <w:t xml:space="preserve">, </w:t>
      </w:r>
      <w:r w:rsidRPr="00EC3704">
        <w:rPr>
          <w:rFonts w:ascii="Georgia" w:hAnsi="Georgia" w:cs="Georgia-Bold"/>
          <w:bCs/>
          <w:color w:val="000000"/>
          <w:sz w:val="24"/>
          <w:szCs w:val="24"/>
        </w:rPr>
        <w:t>проверка правоспособности контрагентов и полномочий их представителей</w:t>
      </w:r>
      <w:r>
        <w:rPr>
          <w:rFonts w:ascii="Georgia" w:hAnsi="Georgia" w:cs="Georgia-Bold"/>
          <w:bCs/>
          <w:color w:val="000000"/>
          <w:sz w:val="24"/>
          <w:szCs w:val="24"/>
        </w:rPr>
        <w:t xml:space="preserve"> и</w:t>
      </w:r>
      <w:r w:rsidRPr="00EC3704">
        <w:rPr>
          <w:rFonts w:ascii="Georgia" w:hAnsi="Georgia" w:cs="Georgia-Bold"/>
          <w:bCs/>
          <w:color w:val="000000"/>
          <w:sz w:val="24"/>
          <w:szCs w:val="24"/>
        </w:rPr>
        <w:t xml:space="preserve"> мониторинг изменений законодательства Российской Федерации</w:t>
      </w:r>
      <w:r>
        <w:rPr>
          <w:rFonts w:ascii="Georgia" w:hAnsi="Georgia" w:cs="Georgia-Bold"/>
          <w:bCs/>
          <w:color w:val="000000"/>
          <w:sz w:val="24"/>
          <w:szCs w:val="24"/>
        </w:rPr>
        <w:t>; -</w:t>
      </w:r>
      <w:r w:rsidRPr="00EC3704">
        <w:rPr>
          <w:rFonts w:ascii="Georgia" w:hAnsi="Georgia" w:cs="Georgia-Bold"/>
          <w:bCs/>
          <w:color w:val="000000"/>
          <w:sz w:val="24"/>
          <w:szCs w:val="24"/>
        </w:rPr>
        <w:t xml:space="preserve"> </w:t>
      </w:r>
      <w:r>
        <w:rPr>
          <w:rFonts w:ascii="Georgia" w:hAnsi="Georgia" w:cs="Georgia-Bold"/>
          <w:bCs/>
          <w:color w:val="000000"/>
          <w:sz w:val="24"/>
          <w:szCs w:val="24"/>
        </w:rPr>
        <w:t xml:space="preserve">используются </w:t>
      </w:r>
      <w:r w:rsidRPr="00EC3704">
        <w:rPr>
          <w:rFonts w:ascii="Georgia" w:hAnsi="Georgia" w:cs="Georgia-Bold"/>
          <w:bCs/>
          <w:color w:val="000000"/>
          <w:sz w:val="24"/>
          <w:szCs w:val="24"/>
        </w:rPr>
        <w:t xml:space="preserve">аналитические методы оценки рисков </w:t>
      </w:r>
      <w:r>
        <w:rPr>
          <w:rFonts w:ascii="Georgia" w:hAnsi="Georgia" w:cs="Georgia-Bold"/>
          <w:bCs/>
          <w:color w:val="000000"/>
          <w:sz w:val="24"/>
          <w:szCs w:val="24"/>
        </w:rPr>
        <w:t>и</w:t>
      </w:r>
      <w:r w:rsidRPr="00EC3704">
        <w:rPr>
          <w:rFonts w:ascii="Georgia" w:hAnsi="Georgia" w:cs="Georgia-Bold"/>
          <w:bCs/>
          <w:color w:val="000000"/>
          <w:sz w:val="24"/>
          <w:szCs w:val="24"/>
        </w:rPr>
        <w:t xml:space="preserve"> системы лимитов по ключевым индикаторам</w:t>
      </w:r>
      <w:r>
        <w:rPr>
          <w:rFonts w:ascii="Georgia" w:hAnsi="Georgia" w:cs="Georgia-Bold"/>
          <w:bCs/>
          <w:color w:val="000000"/>
          <w:sz w:val="24"/>
          <w:szCs w:val="24"/>
        </w:rPr>
        <w:t xml:space="preserve">; - </w:t>
      </w:r>
      <w:r w:rsidRPr="00163B1E">
        <w:rPr>
          <w:rFonts w:ascii="Georgia" w:hAnsi="Georgia" w:cs="Georgia-Bold"/>
          <w:bCs/>
          <w:color w:val="000000"/>
          <w:sz w:val="24"/>
          <w:szCs w:val="24"/>
        </w:rPr>
        <w:t xml:space="preserve">выявляются и локализуются правовые противоречия, </w:t>
      </w:r>
      <w:r>
        <w:rPr>
          <w:rFonts w:ascii="Georgia" w:hAnsi="Georgia" w:cs="Georgia-Bold"/>
          <w:bCs/>
          <w:color w:val="000000"/>
          <w:sz w:val="24"/>
          <w:szCs w:val="24"/>
        </w:rPr>
        <w:t xml:space="preserve">а также </w:t>
      </w:r>
      <w:r w:rsidRPr="00163B1E">
        <w:rPr>
          <w:rFonts w:ascii="Georgia" w:hAnsi="Georgia" w:cs="Georgia-Bold"/>
          <w:bCs/>
          <w:color w:val="000000"/>
          <w:sz w:val="24"/>
          <w:szCs w:val="24"/>
        </w:rPr>
        <w:t>вырабатываются решения, обеспечивающие снижение вероятности возникновения юридических конфликтов с партнерами.</w:t>
      </w:r>
    </w:p>
    <w:p w:rsidR="007D5972" w:rsidRDefault="007D5972" w:rsidP="007D5972"/>
    <w:p w:rsidR="00575CF5" w:rsidRDefault="00575CF5"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56B6B" w:rsidRDefault="00A56B6B" w:rsidP="00575CF5">
      <w:pPr>
        <w:tabs>
          <w:tab w:val="left" w:pos="567"/>
        </w:tabs>
        <w:autoSpaceDE w:val="0"/>
        <w:autoSpaceDN w:val="0"/>
        <w:ind w:firstLine="540"/>
        <w:jc w:val="both"/>
        <w:rPr>
          <w:rFonts w:ascii="Georgia" w:hAnsi="Georgia" w:cs="Georgia-Bold"/>
          <w:bCs/>
          <w:color w:val="000000"/>
          <w:sz w:val="24"/>
          <w:szCs w:val="24"/>
        </w:rPr>
      </w:pPr>
    </w:p>
    <w:p w:rsidR="00A254D9" w:rsidRPr="00833AB2" w:rsidRDefault="00A254D9" w:rsidP="00A254D9">
      <w:pPr>
        <w:pStyle w:val="2"/>
        <w:spacing w:before="0" w:line="240" w:lineRule="auto"/>
        <w:rPr>
          <w:noProof/>
          <w:color w:val="00B050"/>
          <w:sz w:val="20"/>
          <w:szCs w:val="20"/>
        </w:rPr>
      </w:pPr>
    </w:p>
    <w:p w:rsidR="00A56B6B" w:rsidRPr="00A254D9" w:rsidRDefault="00A56B6B" w:rsidP="00A254D9">
      <w:pPr>
        <w:pStyle w:val="2"/>
        <w:spacing w:before="0" w:line="240" w:lineRule="auto"/>
        <w:rPr>
          <w:noProof/>
          <w:color w:val="00B050"/>
          <w:sz w:val="40"/>
          <w:szCs w:val="40"/>
        </w:rPr>
      </w:pPr>
      <w:bookmarkStart w:id="49" w:name="_Toc448145476"/>
      <w:r w:rsidRPr="00A254D9">
        <w:rPr>
          <w:noProof/>
          <w:color w:val="00B050"/>
          <w:sz w:val="40"/>
          <w:szCs w:val="40"/>
        </w:rPr>
        <w:t>Развитие сети филиалов</w:t>
      </w:r>
      <w:bookmarkEnd w:id="49"/>
    </w:p>
    <w:p w:rsidR="00A56B6B" w:rsidRPr="008D2E29" w:rsidRDefault="00A56B6B" w:rsidP="00A56B6B">
      <w:pPr>
        <w:spacing w:after="120" w:line="240" w:lineRule="auto"/>
        <w:jc w:val="both"/>
        <w:rPr>
          <w:rFonts w:ascii="Georgia" w:hAnsi="Georgia"/>
          <w:sz w:val="24"/>
          <w:szCs w:val="24"/>
        </w:rPr>
      </w:pPr>
      <w:r w:rsidRPr="008D2E29">
        <w:rPr>
          <w:rFonts w:ascii="Georgia" w:hAnsi="Georgia"/>
          <w:sz w:val="24"/>
          <w:szCs w:val="24"/>
        </w:rPr>
        <w:t xml:space="preserve">В 2015 году ПАО «ИнтехБанк» продолжил оптимизировать свою региональную сеть.  Залогом успешности стратегии развития сети является система стандартов ее реализации, которая позволяет использовать единый подход в развитии сети в разных регионах, обеспечивает сопоставимость оценки альтернативных вариантов вложения средств и способствует накоплению информационной базы, что в конечном итоге позволяет достигать эффективности при принятии инвестиционных решений. </w:t>
      </w:r>
    </w:p>
    <w:p w:rsidR="00A56B6B" w:rsidRPr="008D2E29" w:rsidRDefault="00A56B6B" w:rsidP="00A56B6B">
      <w:pPr>
        <w:spacing w:after="120" w:line="240" w:lineRule="auto"/>
        <w:jc w:val="both"/>
        <w:rPr>
          <w:rFonts w:ascii="Georgia" w:hAnsi="Georgia"/>
          <w:sz w:val="24"/>
          <w:szCs w:val="24"/>
        </w:rPr>
      </w:pPr>
      <w:r w:rsidRPr="009E68BF">
        <w:rPr>
          <w:rFonts w:ascii="Georgia" w:hAnsi="Georgia"/>
          <w:sz w:val="24"/>
          <w:szCs w:val="24"/>
        </w:rPr>
        <w:t>В 2015 году было принято решение о расширении регионов присутствия Банка,</w:t>
      </w:r>
      <w:r w:rsidRPr="008D2E29">
        <w:rPr>
          <w:rFonts w:ascii="Georgia" w:hAnsi="Georgia"/>
          <w:sz w:val="24"/>
          <w:szCs w:val="24"/>
        </w:rPr>
        <w:t xml:space="preserve"> так был открыт филиал в городе Санкт-Петербурге. Таким образом, на 1 января 2016 года филиальная сеть Банка представлена 4 филиалами в Нижнекамске, Набережных Челнах, Москве и Санкт-Петербурге и Головным офисом в Казани. </w:t>
      </w:r>
    </w:p>
    <w:p w:rsidR="00A56B6B" w:rsidRDefault="00A56B6B" w:rsidP="00A56B6B">
      <w:pPr>
        <w:spacing w:after="120" w:line="240" w:lineRule="auto"/>
        <w:jc w:val="both"/>
        <w:rPr>
          <w:rFonts w:ascii="Georgia" w:hAnsi="Georgia"/>
          <w:b/>
          <w:i/>
          <w:color w:val="365F91" w:themeColor="accent1" w:themeShade="BF"/>
          <w:sz w:val="28"/>
          <w:szCs w:val="24"/>
        </w:rPr>
      </w:pPr>
      <w:r w:rsidRPr="008A180E">
        <w:rPr>
          <w:rFonts w:ascii="Georgia" w:hAnsi="Georgia"/>
          <w:b/>
          <w:i/>
          <w:color w:val="365F91" w:themeColor="accent1" w:themeShade="BF"/>
          <w:sz w:val="28"/>
          <w:szCs w:val="24"/>
        </w:rPr>
        <w:t xml:space="preserve">Количественная структура подразделений без учета Головного офиса </w:t>
      </w:r>
      <w:r>
        <w:rPr>
          <w:rFonts w:ascii="Georgia" w:hAnsi="Georgia"/>
          <w:b/>
          <w:i/>
          <w:color w:val="365F91" w:themeColor="accent1" w:themeShade="BF"/>
          <w:sz w:val="28"/>
          <w:szCs w:val="24"/>
        </w:rPr>
        <w:t>на 01 января 2016 года:</w:t>
      </w:r>
    </w:p>
    <w:p w:rsidR="00A56B6B" w:rsidRPr="008A180E" w:rsidRDefault="00A56B6B" w:rsidP="00A56B6B">
      <w:pPr>
        <w:spacing w:after="120" w:line="240" w:lineRule="auto"/>
        <w:jc w:val="both"/>
        <w:rPr>
          <w:rFonts w:ascii="Georgia" w:hAnsi="Georgia"/>
          <w:b/>
          <w:i/>
          <w:color w:val="365F91" w:themeColor="accent1" w:themeShade="BF"/>
          <w:sz w:val="28"/>
          <w:szCs w:val="24"/>
        </w:rPr>
      </w:pPr>
    </w:p>
    <w:p w:rsidR="00A56B6B" w:rsidRDefault="00A56B6B" w:rsidP="00A56B6B">
      <w:pPr>
        <w:tabs>
          <w:tab w:val="left" w:pos="3285"/>
        </w:tabs>
      </w:pPr>
      <w:r>
        <w:rPr>
          <w:noProof/>
        </w:rPr>
        <w:drawing>
          <wp:inline distT="0" distB="0" distL="0" distR="0" wp14:anchorId="0489062C" wp14:editId="17BE84ED">
            <wp:extent cx="5600700" cy="2057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A56B6B" w:rsidRPr="009E68BF" w:rsidRDefault="00A56B6B" w:rsidP="00A56B6B">
      <w:pPr>
        <w:spacing w:after="120" w:line="240" w:lineRule="auto"/>
        <w:jc w:val="both"/>
        <w:rPr>
          <w:rFonts w:ascii="Georgia" w:hAnsi="Georgia"/>
          <w:sz w:val="24"/>
          <w:szCs w:val="24"/>
        </w:rPr>
      </w:pPr>
      <w:r w:rsidRPr="009E68BF">
        <w:rPr>
          <w:rFonts w:ascii="Georgia" w:hAnsi="Georgia"/>
          <w:sz w:val="24"/>
          <w:szCs w:val="24"/>
        </w:rPr>
        <w:t>На 1 января 2016 года филиалы Банка достигли следующих основных показателей:</w:t>
      </w:r>
    </w:p>
    <w:p w:rsidR="00A56B6B" w:rsidRPr="0064458B" w:rsidRDefault="00A56B6B" w:rsidP="00A56B6B">
      <w:pPr>
        <w:spacing w:after="120" w:line="240" w:lineRule="auto"/>
        <w:jc w:val="both"/>
        <w:rPr>
          <w:rFonts w:ascii="Georgia" w:hAnsi="Georgia"/>
          <w:sz w:val="24"/>
          <w:szCs w:val="24"/>
        </w:rPr>
      </w:pPr>
      <w:r w:rsidRPr="0064458B">
        <w:rPr>
          <w:rFonts w:ascii="Georgia" w:hAnsi="Georgia"/>
          <w:sz w:val="24"/>
          <w:szCs w:val="24"/>
        </w:rPr>
        <w:t>-</w:t>
      </w:r>
      <w:r>
        <w:rPr>
          <w:rFonts w:ascii="Georgia" w:hAnsi="Georgia"/>
          <w:sz w:val="24"/>
          <w:szCs w:val="24"/>
        </w:rPr>
        <w:t xml:space="preserve"> чистый комиссионный доход филиалов составил 56 млн. рублей</w:t>
      </w:r>
    </w:p>
    <w:p w:rsidR="00A56B6B" w:rsidRPr="009E68BF" w:rsidRDefault="00A56B6B" w:rsidP="00A56B6B">
      <w:pPr>
        <w:spacing w:after="120" w:line="240" w:lineRule="auto"/>
        <w:jc w:val="both"/>
        <w:rPr>
          <w:rFonts w:ascii="Georgia" w:hAnsi="Georgia"/>
          <w:sz w:val="24"/>
          <w:szCs w:val="24"/>
        </w:rPr>
      </w:pPr>
      <w:r>
        <w:rPr>
          <w:rFonts w:ascii="Georgia" w:hAnsi="Georgia"/>
          <w:sz w:val="24"/>
          <w:szCs w:val="24"/>
        </w:rPr>
        <w:t xml:space="preserve">- </w:t>
      </w:r>
      <w:r w:rsidRPr="009E68BF">
        <w:rPr>
          <w:rFonts w:ascii="Georgia" w:hAnsi="Georgia"/>
          <w:sz w:val="24"/>
          <w:szCs w:val="24"/>
        </w:rPr>
        <w:t>кредитный портфель филиалов составляет  1,2 млрд. руб. При этом 58% кредитных вложений принадлежит филиалу в городе Набережные Челны.</w:t>
      </w:r>
    </w:p>
    <w:p w:rsidR="00A56B6B" w:rsidRPr="009E68BF" w:rsidRDefault="00A56B6B" w:rsidP="00A56B6B">
      <w:pPr>
        <w:spacing w:after="120" w:line="240" w:lineRule="auto"/>
        <w:jc w:val="both"/>
        <w:rPr>
          <w:rFonts w:ascii="Georgia" w:hAnsi="Georgia"/>
          <w:sz w:val="24"/>
          <w:szCs w:val="24"/>
        </w:rPr>
      </w:pPr>
      <w:r w:rsidRPr="009E68BF">
        <w:rPr>
          <w:rFonts w:ascii="Georgia" w:hAnsi="Georgia"/>
          <w:sz w:val="24"/>
          <w:szCs w:val="24"/>
        </w:rPr>
        <w:t>- средства клиентов юридических и физических лиц составили порядка  4,3 млрд. руб. или 20,2% от общей суммы привлеченных средств клиентов по Банку.</w:t>
      </w:r>
    </w:p>
    <w:p w:rsidR="00A56B6B" w:rsidRDefault="00A56B6B" w:rsidP="00A56B6B">
      <w:pPr>
        <w:autoSpaceDE w:val="0"/>
        <w:autoSpaceDN w:val="0"/>
        <w:adjustRightInd w:val="0"/>
        <w:ind w:left="68" w:firstLine="641"/>
        <w:jc w:val="both"/>
        <w:rPr>
          <w:rFonts w:ascii="Cambria" w:hAnsi="Cambria"/>
        </w:rPr>
      </w:pPr>
    </w:p>
    <w:p w:rsidR="00A56B6B" w:rsidRDefault="00A56B6B" w:rsidP="00A56B6B">
      <w:pPr>
        <w:autoSpaceDE w:val="0"/>
        <w:autoSpaceDN w:val="0"/>
        <w:adjustRightInd w:val="0"/>
        <w:ind w:left="68" w:firstLine="641"/>
        <w:jc w:val="both"/>
        <w:rPr>
          <w:rFonts w:ascii="Cambria" w:hAnsi="Cambria"/>
        </w:rPr>
      </w:pPr>
    </w:p>
    <w:p w:rsidR="00A56B6B" w:rsidRDefault="00A56B6B" w:rsidP="00A56B6B">
      <w:pPr>
        <w:autoSpaceDE w:val="0"/>
        <w:autoSpaceDN w:val="0"/>
        <w:adjustRightInd w:val="0"/>
        <w:ind w:left="68" w:firstLine="641"/>
        <w:jc w:val="both"/>
        <w:rPr>
          <w:rFonts w:ascii="Cambria" w:hAnsi="Cambria"/>
        </w:rPr>
      </w:pPr>
    </w:p>
    <w:p w:rsidR="00A56B6B" w:rsidRDefault="00A56B6B" w:rsidP="00A56B6B">
      <w:pPr>
        <w:autoSpaceDE w:val="0"/>
        <w:autoSpaceDN w:val="0"/>
        <w:adjustRightInd w:val="0"/>
        <w:ind w:left="68" w:firstLine="641"/>
        <w:jc w:val="both"/>
        <w:rPr>
          <w:rFonts w:ascii="Cambria" w:hAnsi="Cambria"/>
        </w:rPr>
      </w:pPr>
      <w:r>
        <w:rPr>
          <w:noProof/>
        </w:rPr>
        <w:lastRenderedPageBreak/>
        <w:drawing>
          <wp:inline distT="0" distB="0" distL="0" distR="0" wp14:anchorId="02FE41C2" wp14:editId="6F2D51CB">
            <wp:extent cx="4648200" cy="221932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A56B6B" w:rsidRDefault="00A56B6B" w:rsidP="00A56B6B">
      <w:pPr>
        <w:autoSpaceDE w:val="0"/>
        <w:autoSpaceDN w:val="0"/>
        <w:adjustRightInd w:val="0"/>
        <w:jc w:val="both"/>
        <w:rPr>
          <w:rFonts w:ascii="Georgia" w:hAnsi="Georgia"/>
          <w:sz w:val="24"/>
          <w:szCs w:val="24"/>
        </w:rPr>
      </w:pPr>
      <w:r w:rsidRPr="00EE1775">
        <w:rPr>
          <w:rFonts w:ascii="Georgia" w:hAnsi="Georgia"/>
          <w:sz w:val="24"/>
          <w:szCs w:val="24"/>
        </w:rPr>
        <w:t>В 2016 году планируется продолжать дальнейшее развитие сети отделений и банкоматов, стандартизации офисов и бизнес-процессов, расширение возможностей интернет-банка и оптимизации работы call-центров.</w:t>
      </w:r>
    </w:p>
    <w:p w:rsidR="00A56B6B" w:rsidRPr="00575CF5" w:rsidRDefault="00A56B6B" w:rsidP="00575CF5">
      <w:pPr>
        <w:tabs>
          <w:tab w:val="left" w:pos="567"/>
        </w:tabs>
        <w:autoSpaceDE w:val="0"/>
        <w:autoSpaceDN w:val="0"/>
        <w:ind w:firstLine="540"/>
        <w:jc w:val="both"/>
        <w:rPr>
          <w:rFonts w:ascii="Georgia" w:hAnsi="Georgia" w:cs="Georgia-Bold"/>
          <w:bCs/>
          <w:color w:val="000000"/>
          <w:sz w:val="24"/>
          <w:szCs w:val="24"/>
        </w:rPr>
      </w:pPr>
    </w:p>
    <w:p w:rsidR="0005045D" w:rsidRPr="0005045D" w:rsidRDefault="0005045D" w:rsidP="0005045D">
      <w:pPr>
        <w:spacing w:after="120" w:line="240" w:lineRule="auto"/>
        <w:jc w:val="both"/>
        <w:rPr>
          <w:rFonts w:ascii="Georgia" w:hAnsi="Georgia" w:cs="Georgia-Bold"/>
          <w:bCs/>
          <w:color w:val="000000"/>
          <w:sz w:val="24"/>
          <w:szCs w:val="24"/>
        </w:rPr>
      </w:pPr>
    </w:p>
    <w:p w:rsidR="0005045D" w:rsidRPr="0005045D" w:rsidRDefault="0005045D" w:rsidP="0005045D">
      <w:pPr>
        <w:spacing w:after="0" w:line="240" w:lineRule="auto"/>
        <w:jc w:val="both"/>
        <w:rPr>
          <w:rFonts w:ascii="Georgia" w:hAnsi="Georgia" w:cs="Georgia-Bold"/>
          <w:bCs/>
          <w:color w:val="000000"/>
          <w:sz w:val="24"/>
          <w:szCs w:val="24"/>
        </w:rPr>
      </w:pPr>
    </w:p>
    <w:p w:rsidR="00514F27" w:rsidRPr="005C3F93" w:rsidRDefault="00514F27" w:rsidP="0005045D">
      <w:pPr>
        <w:spacing w:after="0" w:line="240" w:lineRule="auto"/>
        <w:rPr>
          <w:rFonts w:asciiTheme="majorHAnsi" w:eastAsiaTheme="majorEastAsia" w:hAnsiTheme="majorHAnsi" w:cstheme="majorBidi"/>
          <w:b/>
          <w:bCs/>
          <w:noProof/>
          <w:color w:val="00B050"/>
          <w:sz w:val="40"/>
          <w:szCs w:val="40"/>
        </w:rPr>
      </w:pPr>
      <w:r w:rsidRPr="005C3F93">
        <w:rPr>
          <w:rFonts w:asciiTheme="majorHAnsi" w:eastAsiaTheme="majorEastAsia" w:hAnsiTheme="majorHAnsi" w:cstheme="majorBidi"/>
          <w:b/>
          <w:bCs/>
          <w:noProof/>
          <w:color w:val="00B050"/>
          <w:sz w:val="40"/>
          <w:szCs w:val="40"/>
        </w:rPr>
        <w:br w:type="page"/>
      </w:r>
    </w:p>
    <w:p w:rsidR="004A12A8" w:rsidRDefault="004A12A8" w:rsidP="004A12A8">
      <w:pPr>
        <w:spacing w:after="0" w:line="240" w:lineRule="auto"/>
        <w:rPr>
          <w:rFonts w:asciiTheme="majorHAnsi" w:eastAsiaTheme="majorEastAsia" w:hAnsiTheme="majorHAnsi" w:cstheme="majorBidi"/>
          <w:b/>
          <w:bCs/>
          <w:noProof/>
          <w:color w:val="00B050"/>
          <w:sz w:val="20"/>
          <w:szCs w:val="20"/>
        </w:rPr>
      </w:pPr>
    </w:p>
    <w:p w:rsidR="004A12A8" w:rsidRPr="00F150E8" w:rsidRDefault="004A12A8" w:rsidP="003A3768">
      <w:pPr>
        <w:pStyle w:val="2"/>
        <w:spacing w:before="0" w:line="240" w:lineRule="auto"/>
        <w:rPr>
          <w:noProof/>
          <w:color w:val="00B050"/>
          <w:sz w:val="40"/>
          <w:szCs w:val="40"/>
        </w:rPr>
      </w:pPr>
      <w:bookmarkStart w:id="50" w:name="_Toc448145477"/>
      <w:r w:rsidRPr="00F150E8">
        <w:rPr>
          <w:noProof/>
          <w:color w:val="00B050"/>
          <w:sz w:val="40"/>
          <w:szCs w:val="40"/>
        </w:rPr>
        <w:t>Акционеры</w:t>
      </w:r>
      <w:bookmarkEnd w:id="50"/>
    </w:p>
    <w:p w:rsidR="004A12A8" w:rsidRPr="00F150E8" w:rsidRDefault="004A12A8" w:rsidP="004A12A8">
      <w:pPr>
        <w:spacing w:after="0" w:line="240" w:lineRule="auto"/>
        <w:rPr>
          <w:rFonts w:asciiTheme="majorHAnsi" w:eastAsiaTheme="majorEastAsia" w:hAnsiTheme="majorHAnsi" w:cstheme="majorBidi"/>
          <w:b/>
          <w:bCs/>
          <w:noProof/>
          <w:color w:val="00B050"/>
          <w:sz w:val="20"/>
          <w:szCs w:val="20"/>
        </w:rPr>
      </w:pPr>
    </w:p>
    <w:tbl>
      <w:tblPr>
        <w:tblW w:w="8489" w:type="dxa"/>
        <w:tblInd w:w="108" w:type="dxa"/>
        <w:tblLook w:val="04A0" w:firstRow="1" w:lastRow="0" w:firstColumn="1" w:lastColumn="0" w:noHBand="0" w:noVBand="1"/>
      </w:tblPr>
      <w:tblGrid>
        <w:gridCol w:w="869"/>
        <w:gridCol w:w="4249"/>
        <w:gridCol w:w="379"/>
        <w:gridCol w:w="2992"/>
      </w:tblGrid>
      <w:tr w:rsidR="00F150E8" w:rsidRPr="00374BD0" w:rsidTr="00374BD0">
        <w:trPr>
          <w:trHeight w:val="72"/>
        </w:trPr>
        <w:tc>
          <w:tcPr>
            <w:tcW w:w="869" w:type="dxa"/>
            <w:tcBorders>
              <w:top w:val="nil"/>
              <w:left w:val="nil"/>
              <w:bottom w:val="single" w:sz="8" w:space="0" w:color="95B3D7"/>
              <w:right w:val="nil"/>
            </w:tcBorders>
            <w:shd w:val="clear" w:color="000000" w:fill="DCE6F1"/>
            <w:vAlign w:val="center"/>
            <w:hideMark/>
          </w:tcPr>
          <w:p w:rsidR="00F150E8" w:rsidRPr="00374BD0" w:rsidRDefault="00F150E8" w:rsidP="00F150E8">
            <w:pPr>
              <w:spacing w:after="0" w:line="240" w:lineRule="auto"/>
              <w:jc w:val="center"/>
              <w:rPr>
                <w:rFonts w:ascii="Georgia" w:eastAsia="Times New Roman" w:hAnsi="Georgia" w:cs="Calibri"/>
                <w:b/>
                <w:bCs/>
                <w:color w:val="1F497D"/>
                <w:sz w:val="21"/>
                <w:szCs w:val="21"/>
              </w:rPr>
            </w:pPr>
            <w:r w:rsidRPr="00374BD0">
              <w:rPr>
                <w:rFonts w:ascii="Georgia" w:eastAsia="Times New Roman" w:hAnsi="Georgia" w:cs="Calibri"/>
                <w:b/>
                <w:bCs/>
                <w:color w:val="1F497D"/>
                <w:sz w:val="21"/>
                <w:szCs w:val="21"/>
              </w:rPr>
              <w:t>№ п/п</w:t>
            </w:r>
          </w:p>
        </w:tc>
        <w:tc>
          <w:tcPr>
            <w:tcW w:w="4628" w:type="dxa"/>
            <w:gridSpan w:val="2"/>
            <w:tcBorders>
              <w:top w:val="nil"/>
              <w:left w:val="nil"/>
              <w:bottom w:val="single" w:sz="8" w:space="0" w:color="95B3D7"/>
              <w:right w:val="nil"/>
            </w:tcBorders>
            <w:shd w:val="clear" w:color="000000" w:fill="DCE6F1"/>
            <w:vAlign w:val="center"/>
            <w:hideMark/>
          </w:tcPr>
          <w:p w:rsidR="00F150E8" w:rsidRPr="00374BD0" w:rsidRDefault="00F150E8" w:rsidP="00F150E8">
            <w:pPr>
              <w:spacing w:after="0" w:line="240" w:lineRule="auto"/>
              <w:jc w:val="center"/>
              <w:rPr>
                <w:rFonts w:ascii="Georgia" w:eastAsia="Times New Roman" w:hAnsi="Georgia" w:cs="Calibri"/>
                <w:b/>
                <w:bCs/>
                <w:color w:val="1F497D"/>
                <w:sz w:val="21"/>
                <w:szCs w:val="21"/>
              </w:rPr>
            </w:pPr>
            <w:r w:rsidRPr="00374BD0">
              <w:rPr>
                <w:rFonts w:ascii="Georgia" w:eastAsia="Times New Roman" w:hAnsi="Georgia" w:cs="Calibri"/>
                <w:b/>
                <w:bCs/>
                <w:color w:val="1F497D"/>
                <w:sz w:val="21"/>
                <w:szCs w:val="21"/>
              </w:rPr>
              <w:t>Наименование акционера</w:t>
            </w:r>
          </w:p>
        </w:tc>
        <w:tc>
          <w:tcPr>
            <w:tcW w:w="2992" w:type="dxa"/>
            <w:tcBorders>
              <w:top w:val="nil"/>
              <w:left w:val="nil"/>
              <w:bottom w:val="single" w:sz="8" w:space="0" w:color="95B3D7"/>
              <w:right w:val="nil"/>
            </w:tcBorders>
            <w:shd w:val="clear" w:color="000000" w:fill="DCE6F1"/>
            <w:vAlign w:val="center"/>
            <w:hideMark/>
          </w:tcPr>
          <w:p w:rsidR="00F150E8" w:rsidRPr="00374BD0" w:rsidRDefault="00F150E8" w:rsidP="00F150E8">
            <w:pPr>
              <w:spacing w:after="0" w:line="240" w:lineRule="auto"/>
              <w:jc w:val="center"/>
              <w:rPr>
                <w:rFonts w:ascii="Georgia" w:eastAsia="Times New Roman" w:hAnsi="Georgia" w:cs="Calibri"/>
                <w:b/>
                <w:bCs/>
                <w:color w:val="1F497D"/>
                <w:sz w:val="21"/>
                <w:szCs w:val="21"/>
              </w:rPr>
            </w:pPr>
            <w:r w:rsidRPr="00374BD0">
              <w:rPr>
                <w:rFonts w:ascii="Georgia" w:eastAsia="Times New Roman" w:hAnsi="Georgia" w:cs="Calibri"/>
                <w:b/>
                <w:bCs/>
                <w:color w:val="1F497D"/>
                <w:sz w:val="21"/>
                <w:szCs w:val="21"/>
              </w:rPr>
              <w:t>Размер доли в уставном капитале ПАО «ИнтехБанк», %</w:t>
            </w:r>
          </w:p>
        </w:tc>
      </w:tr>
      <w:tr w:rsidR="00F150E8" w:rsidRPr="00374BD0" w:rsidTr="00374BD0">
        <w:trPr>
          <w:trHeight w:val="716"/>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w:t>
            </w:r>
          </w:p>
        </w:tc>
        <w:tc>
          <w:tcPr>
            <w:tcW w:w="4628" w:type="dxa"/>
            <w:gridSpan w:val="2"/>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"Национальная страховая компания ТАТАРСТАН"  </w:t>
            </w:r>
          </w:p>
        </w:tc>
        <w:tc>
          <w:tcPr>
            <w:tcW w:w="2992" w:type="dxa"/>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11,85%</w:t>
            </w:r>
          </w:p>
        </w:tc>
      </w:tr>
      <w:tr w:rsidR="00F150E8" w:rsidRPr="00374BD0" w:rsidTr="00374BD0">
        <w:trPr>
          <w:trHeight w:val="40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2</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«НефтеТрейдСервис»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9,96%</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3</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«Сувар Девелопмент»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9,96%</w:t>
            </w:r>
          </w:p>
        </w:tc>
      </w:tr>
      <w:tr w:rsidR="00F150E8" w:rsidRPr="00374BD0" w:rsidTr="00374BD0">
        <w:trPr>
          <w:trHeight w:val="492"/>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4</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«Креатив-Инвест»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9,95%</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5</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«Залесный Сити»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9,94%</w:t>
            </w:r>
          </w:p>
        </w:tc>
      </w:tr>
      <w:tr w:rsidR="00F150E8" w:rsidRPr="00374BD0" w:rsidTr="00374BD0">
        <w:trPr>
          <w:trHeight w:val="524"/>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6</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«Грит Плюс»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9,94%</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7</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«Поляр»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7,68%</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8</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Открытое акционерное общество «Стандарт «Ритейл»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7,55%</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9</w:t>
            </w:r>
          </w:p>
        </w:tc>
        <w:tc>
          <w:tcPr>
            <w:tcW w:w="4249" w:type="dxa"/>
            <w:tcBorders>
              <w:top w:val="nil"/>
              <w:left w:val="nil"/>
              <w:bottom w:val="single" w:sz="8" w:space="0" w:color="95B3D7"/>
              <w:right w:val="nil"/>
            </w:tcBorders>
            <w:shd w:val="clear" w:color="auto" w:fill="auto"/>
            <w:vAlign w:val="center"/>
            <w:hideMark/>
          </w:tcPr>
          <w:p w:rsidR="00F150E8" w:rsidRPr="00374BD0" w:rsidRDefault="005E080F"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 </w:t>
            </w:r>
            <w:r w:rsidR="00F150E8" w:rsidRPr="00374BD0">
              <w:rPr>
                <w:rFonts w:ascii="Georgia" w:eastAsia="Times New Roman" w:hAnsi="Georgia" w:cs="Calibri"/>
                <w:color w:val="1F497D"/>
                <w:sz w:val="21"/>
                <w:szCs w:val="21"/>
              </w:rPr>
              <w:t xml:space="preserve">Открытое акционерное общество "Нижнекамскнефтехим"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6,25%</w:t>
            </w:r>
          </w:p>
        </w:tc>
      </w:tr>
      <w:tr w:rsidR="00F150E8" w:rsidRPr="00374BD0" w:rsidTr="00374BD0">
        <w:trPr>
          <w:trHeight w:val="72"/>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10</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Общество с ограниченной ответственностью "Страховая Компания "НАСКО Жизнь"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5,65%</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11</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Общество с ограниченной ответственностью УК «ТатИнК»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4,90%</w:t>
            </w:r>
          </w:p>
        </w:tc>
      </w:tr>
      <w:tr w:rsidR="00F150E8" w:rsidRPr="00374BD0" w:rsidTr="00374BD0">
        <w:trPr>
          <w:trHeight w:val="46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12</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 Министерство земельных и имущественных отношений Республики Татарстан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1,89%</w:t>
            </w:r>
          </w:p>
        </w:tc>
      </w:tr>
      <w:tr w:rsidR="00F150E8" w:rsidRPr="00374BD0" w:rsidTr="00374BD0">
        <w:trPr>
          <w:trHeight w:val="796"/>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13</w:t>
            </w:r>
          </w:p>
        </w:tc>
        <w:tc>
          <w:tcPr>
            <w:tcW w:w="4249" w:type="dxa"/>
            <w:tcBorders>
              <w:top w:val="nil"/>
              <w:left w:val="nil"/>
              <w:bottom w:val="single" w:sz="8" w:space="0" w:color="95B3D7"/>
              <w:right w:val="nil"/>
            </w:tcBorders>
            <w:shd w:val="clear" w:color="auto" w:fill="auto"/>
            <w:vAlign w:val="center"/>
            <w:hideMark/>
          </w:tcPr>
          <w:p w:rsidR="00F150E8" w:rsidRPr="00374BD0" w:rsidRDefault="005E080F"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 </w:t>
            </w:r>
            <w:r w:rsidR="00F150E8" w:rsidRPr="00374BD0">
              <w:rPr>
                <w:rFonts w:ascii="Georgia" w:eastAsia="Times New Roman" w:hAnsi="Georgia" w:cs="Calibri"/>
                <w:color w:val="1F497D"/>
                <w:sz w:val="21"/>
                <w:szCs w:val="21"/>
              </w:rPr>
              <w:t xml:space="preserve">Некоммерческая организация "Региональный фонд социально-экономического развития "ТУГАН ИЛЬ"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1,89%</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14</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Общество с ограниченной ответственностью "Аида и Д"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0,99%</w:t>
            </w:r>
          </w:p>
        </w:tc>
      </w:tr>
      <w:tr w:rsidR="00F150E8" w:rsidRPr="00374BD0" w:rsidTr="00374BD0">
        <w:trPr>
          <w:trHeight w:val="43"/>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15</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Общество с ограниченной ответственностью «Шуз Маркет»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0,85%</w:t>
            </w:r>
          </w:p>
        </w:tc>
      </w:tr>
      <w:tr w:rsidR="00F150E8" w:rsidRPr="00374BD0" w:rsidTr="00374BD0">
        <w:trPr>
          <w:trHeight w:val="26"/>
        </w:trPr>
        <w:tc>
          <w:tcPr>
            <w:tcW w:w="869" w:type="dxa"/>
            <w:tcBorders>
              <w:top w:val="nil"/>
              <w:left w:val="nil"/>
              <w:bottom w:val="single" w:sz="8" w:space="0" w:color="95B3D7"/>
              <w:right w:val="nil"/>
            </w:tcBorders>
            <w:shd w:val="clear" w:color="auto" w:fill="auto"/>
            <w:noWrap/>
            <w:vAlign w:val="center"/>
            <w:hideMark/>
          </w:tcPr>
          <w:p w:rsidR="00F150E8" w:rsidRPr="00374BD0" w:rsidRDefault="00F150E8" w:rsidP="00374BD0">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16</w:t>
            </w:r>
          </w:p>
        </w:tc>
        <w:tc>
          <w:tcPr>
            <w:tcW w:w="4249" w:type="dxa"/>
            <w:tcBorders>
              <w:top w:val="nil"/>
              <w:left w:val="nil"/>
              <w:bottom w:val="single" w:sz="8" w:space="0" w:color="95B3D7"/>
              <w:right w:val="nil"/>
            </w:tcBorders>
            <w:shd w:val="clear" w:color="auto" w:fill="auto"/>
            <w:vAlign w:val="center"/>
            <w:hideMark/>
          </w:tcPr>
          <w:p w:rsidR="00F150E8" w:rsidRPr="00374BD0" w:rsidRDefault="00F150E8" w:rsidP="005E080F">
            <w:pPr>
              <w:spacing w:before="60" w:after="60" w:line="240" w:lineRule="auto"/>
              <w:rPr>
                <w:rFonts w:ascii="Georgia" w:eastAsia="Times New Roman" w:hAnsi="Georgia" w:cs="Calibri"/>
                <w:color w:val="1F497D"/>
                <w:sz w:val="21"/>
                <w:szCs w:val="21"/>
              </w:rPr>
            </w:pPr>
            <w:r w:rsidRPr="00374BD0">
              <w:rPr>
                <w:rFonts w:ascii="Georgia" w:eastAsia="Times New Roman" w:hAnsi="Georgia" w:cs="Calibri"/>
                <w:color w:val="1F497D"/>
                <w:sz w:val="21"/>
                <w:szCs w:val="21"/>
              </w:rPr>
              <w:t xml:space="preserve">Общество с ограниченной ответственностью «Паркингтрейд» </w:t>
            </w:r>
          </w:p>
        </w:tc>
        <w:tc>
          <w:tcPr>
            <w:tcW w:w="3370" w:type="dxa"/>
            <w:gridSpan w:val="2"/>
            <w:tcBorders>
              <w:top w:val="nil"/>
              <w:left w:val="nil"/>
              <w:bottom w:val="single" w:sz="8" w:space="0" w:color="95B3D7"/>
              <w:right w:val="nil"/>
            </w:tcBorders>
            <w:shd w:val="clear" w:color="auto" w:fill="auto"/>
            <w:noWrap/>
            <w:vAlign w:val="center"/>
            <w:hideMark/>
          </w:tcPr>
          <w:p w:rsidR="00F150E8" w:rsidRPr="00374BD0" w:rsidRDefault="00F150E8" w:rsidP="00F150E8">
            <w:pPr>
              <w:spacing w:before="60" w:after="60" w:line="240" w:lineRule="auto"/>
              <w:jc w:val="center"/>
              <w:rPr>
                <w:rFonts w:ascii="Georgia" w:eastAsia="Times New Roman" w:hAnsi="Georgia" w:cs="Calibri"/>
                <w:color w:val="1F497D"/>
                <w:sz w:val="21"/>
                <w:szCs w:val="21"/>
              </w:rPr>
            </w:pPr>
            <w:r w:rsidRPr="00374BD0">
              <w:rPr>
                <w:rFonts w:ascii="Georgia" w:eastAsia="Times New Roman" w:hAnsi="Georgia" w:cs="Calibri"/>
                <w:color w:val="1F497D"/>
                <w:sz w:val="21"/>
                <w:szCs w:val="21"/>
              </w:rPr>
              <w:t>0,75%</w:t>
            </w:r>
          </w:p>
        </w:tc>
      </w:tr>
    </w:tbl>
    <w:p w:rsidR="00F150E8" w:rsidRPr="00CE7724" w:rsidRDefault="00CE7724" w:rsidP="00CE7724">
      <w:pPr>
        <w:spacing w:after="0" w:line="240" w:lineRule="auto"/>
        <w:ind w:left="360"/>
        <w:rPr>
          <w:rFonts w:asciiTheme="majorHAnsi" w:eastAsiaTheme="majorEastAsia" w:hAnsiTheme="majorHAnsi" w:cstheme="majorBidi"/>
          <w:bCs/>
          <w:i/>
          <w:noProof/>
          <w:sz w:val="18"/>
          <w:szCs w:val="18"/>
        </w:rPr>
      </w:pPr>
      <w:r>
        <w:rPr>
          <w:rFonts w:asciiTheme="majorHAnsi" w:eastAsiaTheme="majorEastAsia" w:hAnsiTheme="majorHAnsi" w:cstheme="majorBidi"/>
          <w:bCs/>
          <w:i/>
          <w:noProof/>
          <w:sz w:val="18"/>
          <w:szCs w:val="18"/>
        </w:rPr>
        <w:t>*</w:t>
      </w:r>
      <w:r w:rsidRPr="00CE7724">
        <w:rPr>
          <w:rFonts w:asciiTheme="majorHAnsi" w:eastAsiaTheme="majorEastAsia" w:hAnsiTheme="majorHAnsi" w:cstheme="majorBidi"/>
          <w:bCs/>
          <w:i/>
          <w:noProof/>
          <w:sz w:val="18"/>
          <w:szCs w:val="18"/>
        </w:rPr>
        <w:t>по данным на 31 марта 2016 года</w:t>
      </w:r>
    </w:p>
    <w:p w:rsidR="00F150E8" w:rsidRPr="00F150E8" w:rsidRDefault="00F150E8" w:rsidP="004A12A8">
      <w:pPr>
        <w:spacing w:after="0" w:line="240" w:lineRule="auto"/>
        <w:rPr>
          <w:rFonts w:asciiTheme="majorHAnsi" w:eastAsiaTheme="majorEastAsia" w:hAnsiTheme="majorHAnsi" w:cstheme="majorBidi"/>
          <w:b/>
          <w:bCs/>
          <w:noProof/>
          <w:color w:val="00B050"/>
          <w:sz w:val="20"/>
          <w:szCs w:val="20"/>
        </w:rPr>
      </w:pPr>
    </w:p>
    <w:p w:rsidR="00C94397" w:rsidRDefault="00C94397" w:rsidP="00C94397">
      <w:pPr>
        <w:spacing w:after="0" w:line="240" w:lineRule="auto"/>
        <w:rPr>
          <w:rFonts w:asciiTheme="majorHAnsi" w:eastAsiaTheme="majorEastAsia" w:hAnsiTheme="majorHAnsi" w:cstheme="majorBidi"/>
          <w:b/>
          <w:bCs/>
          <w:noProof/>
          <w:color w:val="00B050"/>
          <w:sz w:val="20"/>
          <w:szCs w:val="20"/>
        </w:rPr>
      </w:pPr>
    </w:p>
    <w:p w:rsidR="00C94397" w:rsidRPr="00F150E8" w:rsidRDefault="00C94397" w:rsidP="003A3768">
      <w:pPr>
        <w:pStyle w:val="2"/>
        <w:spacing w:before="0" w:line="240" w:lineRule="auto"/>
        <w:jc w:val="both"/>
        <w:rPr>
          <w:noProof/>
          <w:color w:val="00B050"/>
          <w:sz w:val="40"/>
          <w:szCs w:val="40"/>
        </w:rPr>
      </w:pPr>
      <w:bookmarkStart w:id="51" w:name="_Toc448145478"/>
      <w:r w:rsidRPr="00F150E8">
        <w:rPr>
          <w:noProof/>
          <w:color w:val="00B050"/>
          <w:sz w:val="40"/>
          <w:szCs w:val="40"/>
        </w:rPr>
        <w:t>Отчет о выплате дивидендов по акциям Банка</w:t>
      </w:r>
      <w:bookmarkEnd w:id="51"/>
      <w:r w:rsidRPr="00F150E8">
        <w:rPr>
          <w:noProof/>
          <w:color w:val="00B050"/>
          <w:sz w:val="40"/>
          <w:szCs w:val="40"/>
        </w:rPr>
        <w:t xml:space="preserve"> </w:t>
      </w:r>
    </w:p>
    <w:p w:rsidR="00C94397" w:rsidRDefault="00C94397" w:rsidP="00C94397">
      <w:pPr>
        <w:autoSpaceDE w:val="0"/>
        <w:autoSpaceDN w:val="0"/>
        <w:spacing w:after="120" w:line="240" w:lineRule="auto"/>
        <w:jc w:val="both"/>
        <w:rPr>
          <w:rFonts w:ascii="Georgia" w:hAnsi="Georgia" w:cs="Georgia-Bold"/>
          <w:bCs/>
          <w:color w:val="000000"/>
          <w:sz w:val="24"/>
          <w:szCs w:val="24"/>
        </w:rPr>
      </w:pPr>
      <w:r w:rsidRPr="00F150E8">
        <w:rPr>
          <w:rFonts w:ascii="Georgia" w:hAnsi="Georgia" w:cs="Georgia-Bold"/>
          <w:bCs/>
          <w:color w:val="000000"/>
          <w:sz w:val="24"/>
          <w:szCs w:val="24"/>
        </w:rPr>
        <w:t>Распределение дивидендов по итогам 201</w:t>
      </w:r>
      <w:r w:rsidR="00F150E8" w:rsidRPr="00F150E8">
        <w:rPr>
          <w:rFonts w:ascii="Georgia" w:hAnsi="Georgia" w:cs="Georgia-Bold"/>
          <w:bCs/>
          <w:color w:val="000000"/>
          <w:sz w:val="24"/>
          <w:szCs w:val="24"/>
        </w:rPr>
        <w:t>4</w:t>
      </w:r>
      <w:r w:rsidRPr="00F150E8">
        <w:rPr>
          <w:rFonts w:ascii="Georgia" w:hAnsi="Georgia" w:cs="Georgia-Bold"/>
          <w:bCs/>
          <w:color w:val="000000"/>
          <w:sz w:val="24"/>
          <w:szCs w:val="24"/>
        </w:rPr>
        <w:t xml:space="preserve"> года не производилось.</w:t>
      </w:r>
    </w:p>
    <w:p w:rsidR="00C94397" w:rsidRPr="004A12A8" w:rsidRDefault="00C94397" w:rsidP="00C94397">
      <w:pPr>
        <w:spacing w:after="0" w:line="240" w:lineRule="auto"/>
        <w:rPr>
          <w:rFonts w:asciiTheme="majorHAnsi" w:eastAsiaTheme="majorEastAsia" w:hAnsiTheme="majorHAnsi" w:cstheme="majorBidi"/>
          <w:b/>
          <w:bCs/>
          <w:noProof/>
          <w:color w:val="00B050"/>
          <w:sz w:val="20"/>
          <w:szCs w:val="20"/>
        </w:rPr>
      </w:pPr>
    </w:p>
    <w:p w:rsidR="000C75B3" w:rsidRPr="00A47D75" w:rsidRDefault="000C75B3" w:rsidP="000C75B3">
      <w:pPr>
        <w:pStyle w:val="1"/>
        <w:spacing w:before="0" w:line="240" w:lineRule="auto"/>
        <w:rPr>
          <w:noProof/>
          <w:color w:val="00B050"/>
          <w:sz w:val="40"/>
        </w:rPr>
      </w:pPr>
      <w:bookmarkStart w:id="52" w:name="_Toc448145479"/>
      <w:r w:rsidRPr="00A47D75">
        <w:rPr>
          <w:noProof/>
          <w:color w:val="00B050"/>
          <w:sz w:val="40"/>
        </w:rPr>
        <w:t>Совет Директоров</w:t>
      </w:r>
      <w:bookmarkEnd w:id="52"/>
    </w:p>
    <w:p w:rsidR="00F150E8" w:rsidRPr="00A47D75" w:rsidRDefault="00F150E8" w:rsidP="00F150E8">
      <w:pPr>
        <w:rPr>
          <w:rFonts w:ascii="Georgia" w:hAnsi="Georgia"/>
          <w:highlight w:val="yellow"/>
        </w:rPr>
      </w:pPr>
    </w:p>
    <w:p w:rsidR="00F150E8" w:rsidRDefault="00F150E8" w:rsidP="00F150E8">
      <w:pPr>
        <w:spacing w:after="120" w:line="240" w:lineRule="auto"/>
        <w:jc w:val="both"/>
        <w:rPr>
          <w:rFonts w:ascii="Georgia" w:hAnsi="Georgia"/>
          <w:bCs/>
          <w:iCs/>
          <w:sz w:val="24"/>
          <w:szCs w:val="24"/>
        </w:rPr>
      </w:pPr>
      <w:r w:rsidRPr="00A47D75">
        <w:rPr>
          <w:rFonts w:ascii="Georgia" w:hAnsi="Georgia"/>
          <w:bCs/>
          <w:iCs/>
          <w:sz w:val="24"/>
          <w:szCs w:val="24"/>
        </w:rPr>
        <w:t>Состав Совета директоров, действующий на 31.12.2015 года, избран на внеочередном Общем собрании акционеров 26 октября 2015 года. Члены Совета директоров акционерами Банка не являются, сделок по приобретению или отчуждению акций Банка в течение года не совершали. Численность Совета директоров - 7 человек.</w:t>
      </w:r>
    </w:p>
    <w:p w:rsidR="00E72CA3" w:rsidRPr="00A47D75" w:rsidRDefault="00E72CA3" w:rsidP="00F150E8">
      <w:pPr>
        <w:spacing w:after="120" w:line="240" w:lineRule="auto"/>
        <w:jc w:val="both"/>
        <w:rPr>
          <w:rFonts w:ascii="Georgia" w:hAnsi="Georgia"/>
          <w:bCs/>
          <w:iCs/>
          <w:sz w:val="24"/>
          <w:szCs w:val="24"/>
        </w:rPr>
      </w:pP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Председатель Совета директоров ПАО «ИнтехБанк»</w:t>
      </w: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Абдуллин Рустем Галимьянович</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08.04.1978, г. Казань.</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Казанский государственный университет</w:t>
      </w:r>
      <w:r w:rsidR="00E72CA3">
        <w:rPr>
          <w:rFonts w:ascii="Georgia" w:hAnsi="Georgia" w:cs="Times New Roman"/>
          <w:sz w:val="24"/>
          <w:szCs w:val="24"/>
        </w:rPr>
        <w:t xml:space="preserve"> им. В.И. Ульянова-Ленина,    1999 </w:t>
      </w:r>
      <w:r w:rsidRPr="00A47D75">
        <w:rPr>
          <w:rFonts w:ascii="Georgia" w:hAnsi="Georgia" w:cs="Times New Roman"/>
          <w:sz w:val="24"/>
          <w:szCs w:val="24"/>
        </w:rPr>
        <w:t xml:space="preserve">г., юриспруденция, юрист.                                           </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Казанская Банковская школа Центрального банка РФ, 1999 г., банковское дело, специалист банковского дела.</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ООО «НефтеТрейдСервис», генеральный директор; АО «Роял Тайм Групп», генеральный директор.</w:t>
      </w: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Андреев Сергей Павлович</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10.07.1983, п. Октябрьский Зеленодольского района Татарской АССР.</w:t>
      </w:r>
    </w:p>
    <w:p w:rsidR="00F150E8" w:rsidRPr="00E72CA3" w:rsidRDefault="00F150E8" w:rsidP="00E72CA3">
      <w:pPr>
        <w:spacing w:after="0" w:line="240" w:lineRule="auto"/>
        <w:jc w:val="both"/>
        <w:rPr>
          <w:rFonts w:ascii="Georgia" w:hAnsi="Georgia"/>
          <w:sz w:val="24"/>
          <w:szCs w:val="24"/>
          <w:u w:val="single"/>
        </w:rPr>
      </w:pPr>
      <w:r w:rsidRPr="00E72CA3">
        <w:rPr>
          <w:rFonts w:ascii="Georgia" w:hAnsi="Georgia"/>
          <w:sz w:val="24"/>
          <w:szCs w:val="24"/>
          <w:u w:val="single"/>
        </w:rPr>
        <w:t>Сведения об образовании:</w:t>
      </w:r>
    </w:p>
    <w:p w:rsidR="00F150E8" w:rsidRPr="00E72CA3" w:rsidRDefault="00F150E8" w:rsidP="00E72CA3">
      <w:pPr>
        <w:spacing w:after="0" w:line="240" w:lineRule="auto"/>
        <w:jc w:val="both"/>
        <w:rPr>
          <w:rFonts w:ascii="Georgia" w:hAnsi="Georgia"/>
          <w:sz w:val="24"/>
          <w:szCs w:val="24"/>
        </w:rPr>
      </w:pPr>
      <w:r w:rsidRPr="00E72CA3">
        <w:rPr>
          <w:rFonts w:ascii="Georgia" w:hAnsi="Georgia"/>
          <w:sz w:val="24"/>
          <w:szCs w:val="24"/>
        </w:rPr>
        <w:t>Казанский финансово-экономический институт, 2005 г., маркетинг, экономист.</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ОАО «Холдинговая компания «Ак Барс», заместитель генерального директора по развитию.</w:t>
      </w: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Жамилов Айрат Асфантович</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19.04.1972, г. Казань.</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 xml:space="preserve">Казанский финансово-экономический институт, 1993 г., экономика и социология труда, экономист. </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ООО «НефтеТрейдСервис», финансовый директор.</w:t>
      </w: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 xml:space="preserve">Зарипов Адель Робертович </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23.09.1981, г. Казань.</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Казанский Государственный Технический Университет имени А.Н.Туполева, экономика и управление на предприятии, специалист.</w:t>
      </w:r>
    </w:p>
    <w:p w:rsidR="00F150E8" w:rsidRPr="00A47D75" w:rsidRDefault="00F150E8" w:rsidP="00E72CA3">
      <w:pPr>
        <w:tabs>
          <w:tab w:val="left" w:pos="0"/>
        </w:tabs>
        <w:spacing w:after="0" w:line="240" w:lineRule="auto"/>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ОАО «Обувная фабрика Спартак», директор имущественного комплекса.</w:t>
      </w:r>
    </w:p>
    <w:p w:rsidR="00E72CA3" w:rsidRDefault="00E72CA3"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p>
    <w:p w:rsidR="00425E4F" w:rsidRDefault="00425E4F"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p>
    <w:p w:rsidR="00E72CA3" w:rsidRDefault="00E72CA3"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p>
    <w:p w:rsidR="00E72CA3" w:rsidRPr="00425E4F" w:rsidRDefault="00E72CA3" w:rsidP="00F150E8">
      <w:pPr>
        <w:tabs>
          <w:tab w:val="left" w:pos="567"/>
        </w:tabs>
        <w:autoSpaceDE w:val="0"/>
        <w:autoSpaceDN w:val="0"/>
        <w:spacing w:before="120" w:after="120" w:line="240" w:lineRule="auto"/>
        <w:jc w:val="both"/>
        <w:rPr>
          <w:rFonts w:ascii="Georgia" w:hAnsi="Georgia"/>
          <w:b/>
          <w:i/>
          <w:color w:val="365F91" w:themeColor="accent1" w:themeShade="BF"/>
          <w:sz w:val="20"/>
          <w:szCs w:val="20"/>
        </w:rPr>
      </w:pP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 xml:space="preserve">Мочалов Андрей Алексеевич </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26.06.1978, г. Казань.</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Казанская государственная архитектурно-строительная академия, 200 г., производство строительных материалов и изделий, инженер-строитель-технолог.</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ООО «Сувар Девелопмент», генеральный директор.</w:t>
      </w:r>
    </w:p>
    <w:p w:rsidR="00F150E8" w:rsidRPr="00A47D75" w:rsidRDefault="00F150E8" w:rsidP="00E72CA3">
      <w:pPr>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Сабирзянов Айдар Салихзянович</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05.12.1977, с. Большая Атня Арского р-на РТ.</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Казанский государственный финансово-экономический институт, 2003 г., бухгалтерский учет и аудит, экономист.</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ОАО «Холдинговая компания «Ак Барс», директор департамента финансов.</w:t>
      </w:r>
    </w:p>
    <w:p w:rsidR="00F150E8" w:rsidRPr="00A47D75" w:rsidRDefault="00F150E8" w:rsidP="00F150E8">
      <w:pPr>
        <w:tabs>
          <w:tab w:val="left" w:pos="567"/>
        </w:tabs>
        <w:autoSpaceDE w:val="0"/>
        <w:autoSpaceDN w:val="0"/>
        <w:spacing w:before="120" w:after="120" w:line="240" w:lineRule="auto"/>
        <w:jc w:val="both"/>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 xml:space="preserve">Халиков Тимур Рафаэлевич </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Дата и место рождения:</w:t>
      </w:r>
      <w:r w:rsidRPr="00A47D75">
        <w:rPr>
          <w:rFonts w:ascii="Georgia" w:hAnsi="Georgia" w:cs="Times New Roman"/>
          <w:sz w:val="24"/>
          <w:szCs w:val="24"/>
        </w:rPr>
        <w:t xml:space="preserve"> 13.01.1981 г., г. Альметьевск.</w:t>
      </w:r>
    </w:p>
    <w:p w:rsidR="00F150E8" w:rsidRPr="00A47D75" w:rsidRDefault="00F150E8" w:rsidP="00E72CA3">
      <w:pPr>
        <w:spacing w:after="0" w:line="240" w:lineRule="auto"/>
        <w:jc w:val="both"/>
        <w:rPr>
          <w:rFonts w:ascii="Georgia" w:hAnsi="Georgia" w:cs="Times New Roman"/>
          <w:sz w:val="24"/>
          <w:szCs w:val="24"/>
          <w:u w:val="single"/>
        </w:rPr>
      </w:pPr>
      <w:r w:rsidRPr="00A47D75">
        <w:rPr>
          <w:rFonts w:ascii="Georgia" w:hAnsi="Georgia" w:cs="Times New Roman"/>
          <w:sz w:val="24"/>
          <w:szCs w:val="24"/>
          <w:u w:val="single"/>
        </w:rPr>
        <w:t>Сведения об образовании:</w:t>
      </w:r>
    </w:p>
    <w:p w:rsidR="00F150E8" w:rsidRPr="00A47D75"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rPr>
        <w:t>Казанский государственный финансово-экономический институт, 2003 г., бухгалтерский учет и аудит, экономист.</w:t>
      </w:r>
    </w:p>
    <w:p w:rsidR="00F150E8" w:rsidRPr="00F150E8" w:rsidRDefault="00F150E8" w:rsidP="00E72CA3">
      <w:pPr>
        <w:spacing w:after="0" w:line="240" w:lineRule="auto"/>
        <w:jc w:val="both"/>
        <w:rPr>
          <w:rFonts w:ascii="Georgia" w:hAnsi="Georgia" w:cs="Times New Roman"/>
          <w:sz w:val="24"/>
          <w:szCs w:val="24"/>
        </w:rPr>
      </w:pPr>
      <w:r w:rsidRPr="00A47D75">
        <w:rPr>
          <w:rFonts w:ascii="Georgia" w:hAnsi="Georgia" w:cs="Times New Roman"/>
          <w:sz w:val="24"/>
          <w:szCs w:val="24"/>
          <w:u w:val="single"/>
        </w:rPr>
        <w:t>Основное место работы и должность:</w:t>
      </w:r>
      <w:r w:rsidRPr="00A47D75">
        <w:rPr>
          <w:rFonts w:ascii="Georgia" w:hAnsi="Georgia" w:cs="Times New Roman"/>
          <w:sz w:val="24"/>
          <w:szCs w:val="24"/>
        </w:rPr>
        <w:t xml:space="preserve"> О</w:t>
      </w:r>
      <w:r w:rsidRPr="00A47D75">
        <w:rPr>
          <w:rFonts w:ascii="Georgia" w:hAnsi="Georgia"/>
          <w:sz w:val="24"/>
          <w:szCs w:val="24"/>
        </w:rPr>
        <w:t>ОО «Поволжский аудиторский центр», начальник аналитического отдела.</w:t>
      </w:r>
    </w:p>
    <w:p w:rsidR="00F150E8" w:rsidRPr="00F150E8" w:rsidRDefault="00F150E8" w:rsidP="00F150E8">
      <w:pPr>
        <w:rPr>
          <w:highlight w:val="yellow"/>
        </w:rPr>
      </w:pPr>
    </w:p>
    <w:p w:rsidR="000C75B3" w:rsidRPr="007D5972" w:rsidRDefault="000C75B3" w:rsidP="000C75B3">
      <w:pPr>
        <w:spacing w:after="0" w:line="240" w:lineRule="auto"/>
        <w:rPr>
          <w:highlight w:val="yellow"/>
        </w:rPr>
      </w:pPr>
    </w:p>
    <w:p w:rsidR="00763EEA" w:rsidRPr="0040084F" w:rsidRDefault="00763EEA"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Pr="0040084F" w:rsidRDefault="00A47D75" w:rsidP="00763EEA">
      <w:pPr>
        <w:spacing w:after="0" w:line="240" w:lineRule="auto"/>
        <w:rPr>
          <w:rFonts w:asciiTheme="majorHAnsi" w:eastAsiaTheme="majorEastAsia" w:hAnsiTheme="majorHAnsi" w:cstheme="majorBidi"/>
          <w:b/>
          <w:bCs/>
          <w:noProof/>
          <w:color w:val="00B050"/>
          <w:sz w:val="20"/>
          <w:szCs w:val="20"/>
          <w:highlight w:val="yellow"/>
        </w:rPr>
      </w:pPr>
    </w:p>
    <w:p w:rsidR="00A47D75" w:rsidRDefault="00A47D75" w:rsidP="00763EEA">
      <w:pPr>
        <w:pStyle w:val="1"/>
        <w:spacing w:before="0" w:line="240" w:lineRule="auto"/>
        <w:rPr>
          <w:noProof/>
          <w:color w:val="00B050"/>
          <w:sz w:val="40"/>
          <w:highlight w:val="yellow"/>
        </w:rPr>
      </w:pPr>
    </w:p>
    <w:p w:rsidR="00E72CA3" w:rsidRDefault="00E72CA3" w:rsidP="00E72CA3">
      <w:pPr>
        <w:rPr>
          <w:highlight w:val="yellow"/>
        </w:rPr>
      </w:pPr>
    </w:p>
    <w:p w:rsidR="00E72CA3" w:rsidRDefault="00E72CA3" w:rsidP="00E72CA3">
      <w:pPr>
        <w:rPr>
          <w:highlight w:val="yellow"/>
        </w:rPr>
      </w:pPr>
    </w:p>
    <w:p w:rsidR="00E72CA3" w:rsidRDefault="00E72CA3" w:rsidP="00E72CA3">
      <w:pPr>
        <w:rPr>
          <w:highlight w:val="yellow"/>
        </w:rPr>
      </w:pPr>
    </w:p>
    <w:p w:rsidR="00E72CA3" w:rsidRDefault="00E72CA3" w:rsidP="00E72CA3">
      <w:pPr>
        <w:rPr>
          <w:highlight w:val="yellow"/>
        </w:rPr>
      </w:pPr>
    </w:p>
    <w:p w:rsidR="00E72CA3" w:rsidRPr="00E72CA3" w:rsidRDefault="00E72CA3" w:rsidP="00E72CA3">
      <w:pPr>
        <w:rPr>
          <w:highlight w:val="yellow"/>
        </w:rPr>
      </w:pPr>
    </w:p>
    <w:p w:rsidR="00E72CA3" w:rsidRPr="00425E4F" w:rsidRDefault="00E72CA3" w:rsidP="00763EEA">
      <w:pPr>
        <w:pStyle w:val="1"/>
        <w:spacing w:before="0" w:line="240" w:lineRule="auto"/>
        <w:rPr>
          <w:noProof/>
          <w:color w:val="00B050"/>
          <w:sz w:val="20"/>
          <w:szCs w:val="20"/>
        </w:rPr>
      </w:pPr>
    </w:p>
    <w:p w:rsidR="00763EEA" w:rsidRPr="00A47D75" w:rsidRDefault="00763EEA" w:rsidP="00763EEA">
      <w:pPr>
        <w:pStyle w:val="1"/>
        <w:spacing w:before="0" w:line="240" w:lineRule="auto"/>
        <w:rPr>
          <w:noProof/>
          <w:color w:val="00B050"/>
          <w:sz w:val="40"/>
        </w:rPr>
      </w:pPr>
      <w:bookmarkStart w:id="53" w:name="_Toc448145480"/>
      <w:r w:rsidRPr="00A47D75">
        <w:rPr>
          <w:noProof/>
          <w:color w:val="00B050"/>
          <w:sz w:val="40"/>
        </w:rPr>
        <w:t>Информация об изменениях в составе Совета Директоров</w:t>
      </w:r>
      <w:bookmarkEnd w:id="53"/>
    </w:p>
    <w:p w:rsidR="00763EEA" w:rsidRPr="00A47D75" w:rsidRDefault="00763EEA" w:rsidP="00A47D75">
      <w:pPr>
        <w:pStyle w:val="2014"/>
      </w:pPr>
    </w:p>
    <w:p w:rsidR="00A47D75" w:rsidRPr="00A47D75" w:rsidRDefault="00A47D75" w:rsidP="00A47D75">
      <w:pPr>
        <w:pStyle w:val="2014"/>
      </w:pPr>
      <w:r w:rsidRPr="00A47D75">
        <w:t xml:space="preserve">Действующий на </w:t>
      </w:r>
      <w:r w:rsidRPr="00A47D75">
        <w:rPr>
          <w:b/>
        </w:rPr>
        <w:t>31.12.2015</w:t>
      </w:r>
      <w:r w:rsidRPr="00A47D75">
        <w:t xml:space="preserve"> года состав Совета директоров избран на внеочередном Общем собрании акционеров </w:t>
      </w:r>
      <w:r w:rsidRPr="00A47D75">
        <w:rPr>
          <w:b/>
        </w:rPr>
        <w:t>26 октября 2015</w:t>
      </w:r>
      <w:r w:rsidRPr="00A47D75">
        <w:t xml:space="preserve"> года.</w:t>
      </w:r>
    </w:p>
    <w:p w:rsidR="00A47D75" w:rsidRPr="00A47D75" w:rsidRDefault="00A47D75" w:rsidP="00A47D75">
      <w:pPr>
        <w:pStyle w:val="2014"/>
      </w:pPr>
      <w:r w:rsidRPr="00A47D75">
        <w:t xml:space="preserve">Все директора соответствуют требованиям, установленным законодательством Российской Федерации, нормативными документами Банка России, Уставом и внутренними документами Банка, их квалификация, профессиональный и управленческий опыт позволяют принимать решения по всем ключевым вопросам деятельности Банка, входящим в компетенцию Совета директоров Банка. </w:t>
      </w:r>
    </w:p>
    <w:p w:rsidR="009373A7" w:rsidRPr="00E72CA3" w:rsidRDefault="009373A7" w:rsidP="009373A7">
      <w:pPr>
        <w:pStyle w:val="1"/>
        <w:spacing w:before="0" w:line="240" w:lineRule="auto"/>
        <w:rPr>
          <w:noProof/>
          <w:color w:val="00B050"/>
          <w:sz w:val="20"/>
          <w:szCs w:val="20"/>
        </w:rPr>
      </w:pPr>
    </w:p>
    <w:p w:rsidR="009373A7" w:rsidRPr="00E72CA3" w:rsidRDefault="009373A7" w:rsidP="009373A7">
      <w:pPr>
        <w:pStyle w:val="1"/>
        <w:spacing w:before="0" w:line="240" w:lineRule="auto"/>
        <w:rPr>
          <w:noProof/>
          <w:color w:val="00B050"/>
          <w:sz w:val="39"/>
          <w:szCs w:val="39"/>
        </w:rPr>
      </w:pPr>
      <w:bookmarkStart w:id="54" w:name="_Toc448145481"/>
      <w:r w:rsidRPr="00E72CA3">
        <w:rPr>
          <w:noProof/>
          <w:color w:val="00B050"/>
          <w:sz w:val="39"/>
          <w:szCs w:val="39"/>
        </w:rPr>
        <w:t>Вознаграждени</w:t>
      </w:r>
      <w:r w:rsidR="00B36836" w:rsidRPr="00E72CA3">
        <w:rPr>
          <w:noProof/>
          <w:color w:val="00B050"/>
          <w:sz w:val="39"/>
          <w:szCs w:val="39"/>
        </w:rPr>
        <w:t>е</w:t>
      </w:r>
      <w:r w:rsidRPr="00E72CA3">
        <w:rPr>
          <w:noProof/>
          <w:color w:val="00B050"/>
          <w:sz w:val="39"/>
          <w:szCs w:val="39"/>
        </w:rPr>
        <w:t xml:space="preserve"> членам Совета директоров</w:t>
      </w:r>
      <w:bookmarkEnd w:id="54"/>
    </w:p>
    <w:p w:rsidR="009373A7" w:rsidRPr="00E72CA3" w:rsidRDefault="009373A7" w:rsidP="00B03F69">
      <w:pPr>
        <w:spacing w:after="0" w:line="240" w:lineRule="auto"/>
        <w:rPr>
          <w:sz w:val="20"/>
          <w:szCs w:val="20"/>
        </w:rPr>
      </w:pPr>
    </w:p>
    <w:p w:rsidR="00A47D75" w:rsidRPr="00A47D75" w:rsidRDefault="00A47D75" w:rsidP="00A47D75">
      <w:pPr>
        <w:pStyle w:val="2014"/>
      </w:pPr>
      <w:r w:rsidRPr="00E72CA3">
        <w:t>В 2015 году были произведены выплаты вознаграждений членам Совета директоров, избранным в 2014 году, за период их полномочий. Вознаграждение выплачивалось в соответствии с Федеральным законом «Об акционерных обществах» и Уставом ПАО «ИнтехБанк». Общий размер вознаграждения 7-ми членам Совета директоров Банка по результатам 2014 года составил – 2 935,13 тыс. рублей.</w:t>
      </w:r>
    </w:p>
    <w:p w:rsidR="000C75B3" w:rsidRPr="007D5972" w:rsidRDefault="000C75B3" w:rsidP="00E0754D">
      <w:pPr>
        <w:pStyle w:val="2014"/>
        <w:rPr>
          <w:rFonts w:asciiTheme="majorHAnsi" w:eastAsiaTheme="majorEastAsia" w:hAnsiTheme="majorHAnsi" w:cstheme="majorBidi"/>
          <w:b/>
          <w:bCs/>
          <w:noProof/>
          <w:color w:val="00B050"/>
          <w:sz w:val="20"/>
          <w:szCs w:val="20"/>
          <w:highlight w:val="yellow"/>
        </w:rPr>
      </w:pPr>
      <w:r w:rsidRPr="007D5972">
        <w:rPr>
          <w:rFonts w:asciiTheme="majorHAnsi" w:eastAsiaTheme="majorEastAsia" w:hAnsiTheme="majorHAnsi" w:cstheme="majorBidi"/>
          <w:b/>
          <w:bCs/>
          <w:noProof/>
          <w:color w:val="00B050"/>
          <w:sz w:val="20"/>
          <w:szCs w:val="20"/>
          <w:highlight w:val="yellow"/>
        </w:rPr>
        <w:br w:type="page"/>
      </w:r>
    </w:p>
    <w:p w:rsidR="00116AA1" w:rsidRPr="007D5972" w:rsidRDefault="00116AA1" w:rsidP="00116AA1">
      <w:pPr>
        <w:pStyle w:val="1"/>
        <w:spacing w:before="0" w:line="240" w:lineRule="auto"/>
        <w:rPr>
          <w:noProof/>
          <w:color w:val="00B050"/>
          <w:sz w:val="20"/>
          <w:szCs w:val="20"/>
          <w:highlight w:val="yellow"/>
        </w:rPr>
      </w:pPr>
    </w:p>
    <w:p w:rsidR="00116AA1" w:rsidRPr="00A47D75" w:rsidRDefault="00116AA1" w:rsidP="00116AA1">
      <w:pPr>
        <w:pStyle w:val="1"/>
        <w:spacing w:before="0" w:line="240" w:lineRule="auto"/>
        <w:rPr>
          <w:bCs w:val="0"/>
          <w:noProof/>
          <w:color w:val="00B050"/>
          <w:sz w:val="40"/>
          <w:szCs w:val="40"/>
        </w:rPr>
      </w:pPr>
      <w:bookmarkStart w:id="55" w:name="_Toc448145482"/>
      <w:r w:rsidRPr="00A47D75">
        <w:rPr>
          <w:noProof/>
          <w:color w:val="00B050"/>
          <w:sz w:val="40"/>
          <w:szCs w:val="40"/>
        </w:rPr>
        <w:t>П</w:t>
      </w:r>
      <w:r w:rsidRPr="00A47D75">
        <w:rPr>
          <w:bCs w:val="0"/>
          <w:noProof/>
          <w:color w:val="00B050"/>
          <w:sz w:val="40"/>
          <w:szCs w:val="40"/>
        </w:rPr>
        <w:t>равление</w:t>
      </w:r>
      <w:bookmarkEnd w:id="55"/>
    </w:p>
    <w:p w:rsidR="00116AA1" w:rsidRPr="00A47D75" w:rsidRDefault="00116AA1" w:rsidP="00116AA1">
      <w:pPr>
        <w:pStyle w:val="1"/>
        <w:spacing w:before="0" w:line="240" w:lineRule="auto"/>
        <w:rPr>
          <w:bCs w:val="0"/>
          <w:noProof/>
          <w:color w:val="00B050"/>
          <w:sz w:val="20"/>
          <w:szCs w:val="20"/>
        </w:rPr>
      </w:pPr>
    </w:p>
    <w:p w:rsidR="00FF5718" w:rsidRPr="00A47D75" w:rsidRDefault="00FF5718" w:rsidP="00FF5718">
      <w:pPr>
        <w:spacing w:after="0" w:line="240" w:lineRule="auto"/>
        <w:rPr>
          <w:rFonts w:ascii="Georgia" w:hAnsi="Georgia"/>
          <w:b/>
          <w:i/>
          <w:sz w:val="24"/>
          <w:szCs w:val="24"/>
        </w:rPr>
      </w:pPr>
      <w:r w:rsidRPr="00A47D75">
        <w:rPr>
          <w:rFonts w:ascii="Georgia" w:hAnsi="Georgia"/>
          <w:b/>
          <w:i/>
          <w:sz w:val="24"/>
          <w:szCs w:val="24"/>
        </w:rPr>
        <w:t xml:space="preserve">Председатель Правления ОАО «ИнтехБанк» </w:t>
      </w:r>
    </w:p>
    <w:p w:rsidR="00FF5718" w:rsidRPr="00A47D75" w:rsidRDefault="00FF5718" w:rsidP="00254D99">
      <w:pPr>
        <w:spacing w:before="60" w:after="60" w:line="240" w:lineRule="auto"/>
        <w:rPr>
          <w:rFonts w:ascii="Georgia" w:hAnsi="Georgia" w:cs="Tahoma"/>
          <w:b/>
          <w:sz w:val="24"/>
          <w:szCs w:val="24"/>
        </w:rPr>
      </w:pPr>
      <w:r w:rsidRPr="00A47D75">
        <w:rPr>
          <w:rFonts w:ascii="Georgia" w:hAnsi="Georgia"/>
          <w:b/>
          <w:i/>
          <w:color w:val="365F91" w:themeColor="accent1" w:themeShade="BF"/>
          <w:sz w:val="28"/>
          <w:szCs w:val="24"/>
        </w:rPr>
        <w:t>Зарипов Марсель Рафаэльевич</w:t>
      </w:r>
      <w:r w:rsidRPr="00A47D75">
        <w:rPr>
          <w:rFonts w:ascii="Georgia" w:hAnsi="Georgia" w:cs="Tahoma"/>
          <w:b/>
          <w:sz w:val="24"/>
          <w:szCs w:val="24"/>
        </w:rPr>
        <w:t xml:space="preserve"> </w:t>
      </w:r>
    </w:p>
    <w:p w:rsidR="00FF5718" w:rsidRPr="00A47D75" w:rsidRDefault="00FF5718" w:rsidP="00FF5718">
      <w:pPr>
        <w:spacing w:after="0" w:line="240" w:lineRule="auto"/>
        <w:rPr>
          <w:rFonts w:ascii="Georgia" w:hAnsi="Georgia"/>
          <w:sz w:val="24"/>
          <w:szCs w:val="24"/>
        </w:rPr>
      </w:pPr>
      <w:r w:rsidRPr="00A47D75">
        <w:rPr>
          <w:rFonts w:ascii="Georgia" w:hAnsi="Georgia"/>
          <w:sz w:val="24"/>
          <w:szCs w:val="24"/>
          <w:u w:val="single"/>
        </w:rPr>
        <w:t>Год рождения:</w:t>
      </w:r>
      <w:r w:rsidRPr="00A47D75">
        <w:rPr>
          <w:rFonts w:ascii="Georgia" w:hAnsi="Georgia" w:cs="Tahoma"/>
          <w:b/>
          <w:sz w:val="24"/>
          <w:szCs w:val="24"/>
        </w:rPr>
        <w:t xml:space="preserve"> </w:t>
      </w:r>
      <w:r w:rsidRPr="00A47D75">
        <w:rPr>
          <w:rFonts w:ascii="Georgia" w:hAnsi="Georgia" w:cs="Tahoma"/>
          <w:sz w:val="24"/>
          <w:szCs w:val="24"/>
        </w:rPr>
        <w:t>1967 г.</w:t>
      </w:r>
    </w:p>
    <w:p w:rsidR="00FF5718" w:rsidRPr="00A47D75" w:rsidRDefault="00FF5718" w:rsidP="00FF5718">
      <w:pPr>
        <w:spacing w:after="0" w:line="240" w:lineRule="auto"/>
        <w:rPr>
          <w:rFonts w:ascii="Georgia" w:hAnsi="Georgia"/>
          <w:i/>
          <w:sz w:val="24"/>
          <w:szCs w:val="24"/>
        </w:rPr>
      </w:pPr>
      <w:r w:rsidRPr="00A47D75">
        <w:rPr>
          <w:rFonts w:ascii="Georgia" w:hAnsi="Georgia"/>
          <w:sz w:val="24"/>
          <w:szCs w:val="24"/>
          <w:u w:val="single"/>
        </w:rPr>
        <w:t>Сведения об образовании, год окончания:</w:t>
      </w:r>
      <w:r w:rsidRPr="00A47D75">
        <w:rPr>
          <w:rFonts w:ascii="Georgia" w:hAnsi="Georgia"/>
          <w:sz w:val="24"/>
          <w:szCs w:val="24"/>
        </w:rPr>
        <w:t xml:space="preserve"> </w:t>
      </w:r>
      <w:r w:rsidRPr="00A47D75">
        <w:rPr>
          <w:rFonts w:ascii="Georgia" w:hAnsi="Georgia"/>
          <w:i/>
          <w:sz w:val="24"/>
          <w:szCs w:val="24"/>
        </w:rPr>
        <w:t>Казанский финансово-экономический институт им. В.В. Куйбышева, 1992 г.</w:t>
      </w:r>
    </w:p>
    <w:p w:rsidR="00FF5718" w:rsidRPr="00A47D75" w:rsidRDefault="00FF5718" w:rsidP="00FF5718">
      <w:pPr>
        <w:tabs>
          <w:tab w:val="left" w:pos="0"/>
        </w:tabs>
        <w:spacing w:after="0" w:line="240" w:lineRule="auto"/>
        <w:jc w:val="both"/>
        <w:rPr>
          <w:rFonts w:ascii="Georgia" w:hAnsi="Georgia"/>
          <w:i/>
          <w:sz w:val="24"/>
          <w:szCs w:val="24"/>
        </w:rPr>
      </w:pPr>
      <w:r w:rsidRPr="00A47D75">
        <w:rPr>
          <w:rFonts w:ascii="Georgia" w:hAnsi="Georgia"/>
          <w:sz w:val="24"/>
          <w:szCs w:val="24"/>
          <w:u w:val="single"/>
        </w:rPr>
        <w:t>Квалификация</w:t>
      </w:r>
      <w:r w:rsidRPr="00A47D75">
        <w:rPr>
          <w:rFonts w:ascii="Georgia" w:hAnsi="Georgia"/>
          <w:i/>
          <w:sz w:val="24"/>
          <w:szCs w:val="24"/>
          <w:u w:val="single"/>
        </w:rPr>
        <w:t>:</w:t>
      </w:r>
      <w:r w:rsidRPr="00A47D75">
        <w:rPr>
          <w:rFonts w:ascii="Georgia" w:hAnsi="Georgia"/>
          <w:i/>
          <w:sz w:val="24"/>
          <w:szCs w:val="24"/>
        </w:rPr>
        <w:t xml:space="preserve"> экономист.</w:t>
      </w:r>
    </w:p>
    <w:p w:rsidR="00FF5718" w:rsidRPr="00A47D75" w:rsidRDefault="00FF5718" w:rsidP="00FF5718">
      <w:pPr>
        <w:pStyle w:val="ab"/>
        <w:spacing w:before="0" w:beforeAutospacing="0" w:after="0" w:afterAutospacing="0"/>
        <w:rPr>
          <w:rFonts w:ascii="Georgia" w:hAnsi="Georgia" w:cs="Tahoma"/>
          <w:b/>
          <w:sz w:val="14"/>
          <w:szCs w:val="14"/>
        </w:rPr>
      </w:pPr>
    </w:p>
    <w:p w:rsidR="00FF5718" w:rsidRPr="00A47D75" w:rsidRDefault="00FF5718" w:rsidP="00FF5718">
      <w:pPr>
        <w:pStyle w:val="ab"/>
        <w:spacing w:before="0" w:beforeAutospacing="0" w:after="0" w:afterAutospacing="0"/>
        <w:rPr>
          <w:rFonts w:ascii="Georgia" w:hAnsi="Georgia" w:cs="Tahoma"/>
          <w:b/>
          <w:i/>
        </w:rPr>
      </w:pPr>
      <w:r w:rsidRPr="00A47D75">
        <w:rPr>
          <w:rFonts w:ascii="Georgia" w:hAnsi="Georgia" w:cs="Tahoma"/>
          <w:b/>
          <w:i/>
        </w:rPr>
        <w:t xml:space="preserve">Первый заместитель Председателя Правления </w:t>
      </w:r>
    </w:p>
    <w:p w:rsidR="00FF5718" w:rsidRPr="00A47D75" w:rsidRDefault="00FF5718" w:rsidP="00254D99">
      <w:pPr>
        <w:spacing w:before="60" w:after="60" w:line="240" w:lineRule="auto"/>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Наумова Елена Андреевна</w:t>
      </w:r>
    </w:p>
    <w:p w:rsidR="00FF5718" w:rsidRPr="00A47D75" w:rsidRDefault="00FF5718" w:rsidP="00FF5718">
      <w:pPr>
        <w:pStyle w:val="ab"/>
        <w:spacing w:before="0" w:beforeAutospacing="0" w:after="0" w:afterAutospacing="0"/>
        <w:rPr>
          <w:rFonts w:ascii="Georgia" w:hAnsi="Georgia" w:cs="Tahoma"/>
          <w:b/>
        </w:rPr>
      </w:pPr>
      <w:r w:rsidRPr="00A47D75">
        <w:rPr>
          <w:rFonts w:ascii="Georgia" w:hAnsi="Georgia"/>
          <w:u w:val="single"/>
        </w:rPr>
        <w:t>Год рождения:</w:t>
      </w:r>
      <w:r w:rsidRPr="00A47D75">
        <w:rPr>
          <w:rFonts w:ascii="Georgia" w:hAnsi="Georgia" w:cs="Tahoma"/>
          <w:b/>
        </w:rPr>
        <w:t xml:space="preserve"> </w:t>
      </w:r>
      <w:r w:rsidRPr="00A47D75">
        <w:rPr>
          <w:rFonts w:ascii="Georgia" w:hAnsi="Georgia" w:cs="Tahoma"/>
        </w:rPr>
        <w:t>1982 г.</w:t>
      </w:r>
    </w:p>
    <w:p w:rsidR="00FF5718" w:rsidRPr="00A47D75" w:rsidRDefault="00FF5718" w:rsidP="00FF5718">
      <w:pPr>
        <w:spacing w:after="0" w:line="240" w:lineRule="auto"/>
        <w:rPr>
          <w:rFonts w:ascii="Georgia" w:hAnsi="Georgia"/>
          <w:i/>
          <w:sz w:val="24"/>
          <w:szCs w:val="24"/>
        </w:rPr>
      </w:pPr>
      <w:r w:rsidRPr="00A47D75">
        <w:rPr>
          <w:rFonts w:ascii="Georgia" w:hAnsi="Georgia"/>
          <w:sz w:val="24"/>
          <w:szCs w:val="24"/>
          <w:u w:val="single"/>
        </w:rPr>
        <w:t>Сведения об образовании, год окончания:</w:t>
      </w:r>
      <w:r w:rsidRPr="00A47D75">
        <w:rPr>
          <w:rFonts w:ascii="Georgia" w:hAnsi="Georgia"/>
          <w:sz w:val="24"/>
          <w:szCs w:val="24"/>
        </w:rPr>
        <w:t xml:space="preserve"> </w:t>
      </w:r>
      <w:r w:rsidRPr="00A47D75">
        <w:rPr>
          <w:rFonts w:ascii="Georgia" w:hAnsi="Georgia"/>
          <w:i/>
          <w:sz w:val="24"/>
          <w:szCs w:val="24"/>
        </w:rPr>
        <w:t>Казанский государственный университет им. Ленина, 2004 г.</w:t>
      </w:r>
    </w:p>
    <w:p w:rsidR="00FF5718" w:rsidRPr="00A47D75" w:rsidRDefault="00FF5718" w:rsidP="00FF5718">
      <w:pPr>
        <w:tabs>
          <w:tab w:val="left" w:pos="0"/>
        </w:tabs>
        <w:spacing w:after="0" w:line="240" w:lineRule="auto"/>
        <w:jc w:val="both"/>
        <w:rPr>
          <w:rFonts w:ascii="Georgia" w:hAnsi="Georgia"/>
          <w:i/>
          <w:sz w:val="24"/>
          <w:szCs w:val="24"/>
        </w:rPr>
      </w:pPr>
      <w:r w:rsidRPr="00A47D75">
        <w:rPr>
          <w:rFonts w:ascii="Georgia" w:hAnsi="Georgia"/>
          <w:sz w:val="24"/>
          <w:szCs w:val="24"/>
          <w:u w:val="single"/>
        </w:rPr>
        <w:t>Квалификация:</w:t>
      </w:r>
      <w:r w:rsidRPr="00A47D75">
        <w:rPr>
          <w:rFonts w:ascii="Georgia" w:hAnsi="Georgia"/>
          <w:sz w:val="24"/>
          <w:szCs w:val="24"/>
        </w:rPr>
        <w:t xml:space="preserve"> </w:t>
      </w:r>
      <w:r w:rsidRPr="00A47D75">
        <w:rPr>
          <w:rFonts w:ascii="Georgia" w:hAnsi="Georgia"/>
          <w:i/>
          <w:sz w:val="24"/>
          <w:szCs w:val="24"/>
        </w:rPr>
        <w:t>менеджер в сфере государственного и муниципального управления.</w:t>
      </w:r>
    </w:p>
    <w:p w:rsidR="00FF5718" w:rsidRPr="007D5972" w:rsidRDefault="00FF5718" w:rsidP="00FF5718">
      <w:pPr>
        <w:pStyle w:val="ab"/>
        <w:spacing w:before="0" w:beforeAutospacing="0" w:after="0" w:afterAutospacing="0"/>
        <w:rPr>
          <w:rFonts w:ascii="Georgia" w:hAnsi="Georgia" w:cs="Tahoma"/>
          <w:b/>
          <w:sz w:val="14"/>
          <w:szCs w:val="14"/>
          <w:highlight w:val="yellow"/>
        </w:rPr>
      </w:pPr>
    </w:p>
    <w:p w:rsidR="00254D99" w:rsidRPr="00A47D75" w:rsidRDefault="00254D99" w:rsidP="00FF5718">
      <w:pPr>
        <w:pStyle w:val="ab"/>
        <w:spacing w:before="0" w:beforeAutospacing="0" w:after="0" w:afterAutospacing="0"/>
        <w:rPr>
          <w:rFonts w:ascii="Georgia" w:hAnsi="Georgia" w:cs="Tahoma"/>
          <w:b/>
          <w:i/>
        </w:rPr>
      </w:pPr>
      <w:r w:rsidRPr="00A47D75">
        <w:rPr>
          <w:rFonts w:ascii="Georgia" w:hAnsi="Georgia" w:cs="Tahoma"/>
          <w:b/>
          <w:i/>
        </w:rPr>
        <w:t>Заместитель Председателя Правления по розничному бизнесу</w:t>
      </w:r>
    </w:p>
    <w:p w:rsidR="00254D99" w:rsidRPr="00A47D75" w:rsidRDefault="00254D99" w:rsidP="00254D99">
      <w:pPr>
        <w:spacing w:before="60" w:after="60" w:line="240" w:lineRule="auto"/>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Теркулов Нияз Каримович</w:t>
      </w:r>
    </w:p>
    <w:p w:rsidR="00254D99" w:rsidRPr="00A47D75" w:rsidRDefault="00254D99" w:rsidP="00254D99">
      <w:pPr>
        <w:pStyle w:val="ab"/>
        <w:spacing w:before="0" w:beforeAutospacing="0" w:after="0" w:afterAutospacing="0"/>
        <w:rPr>
          <w:rFonts w:ascii="Georgia" w:hAnsi="Georgia" w:cs="Tahoma"/>
        </w:rPr>
      </w:pPr>
      <w:r w:rsidRPr="00A47D75">
        <w:rPr>
          <w:rFonts w:ascii="Georgia" w:hAnsi="Georgia"/>
          <w:u w:val="single"/>
        </w:rPr>
        <w:t>Год рождения:</w:t>
      </w:r>
      <w:r w:rsidRPr="00A47D75">
        <w:rPr>
          <w:rFonts w:ascii="Georgia" w:hAnsi="Georgia" w:cs="Tahoma"/>
          <w:b/>
        </w:rPr>
        <w:t xml:space="preserve"> </w:t>
      </w:r>
      <w:r w:rsidRPr="00A47D75">
        <w:rPr>
          <w:rFonts w:ascii="Georgia" w:hAnsi="Georgia" w:cs="Tahoma"/>
        </w:rPr>
        <w:t>1985 г.</w:t>
      </w:r>
    </w:p>
    <w:p w:rsidR="00254D99" w:rsidRPr="00A47D75" w:rsidRDefault="00254D99" w:rsidP="00254D99">
      <w:pPr>
        <w:spacing w:after="0" w:line="240" w:lineRule="auto"/>
        <w:rPr>
          <w:rFonts w:ascii="Georgia" w:hAnsi="Georgia"/>
          <w:i/>
          <w:sz w:val="24"/>
          <w:szCs w:val="24"/>
        </w:rPr>
      </w:pPr>
      <w:r w:rsidRPr="00A47D75">
        <w:rPr>
          <w:rFonts w:ascii="Georgia" w:hAnsi="Georgia"/>
          <w:sz w:val="24"/>
          <w:szCs w:val="24"/>
          <w:u w:val="single"/>
        </w:rPr>
        <w:t>Сведения об образовании, год окончания:</w:t>
      </w:r>
      <w:r w:rsidRPr="00A47D75">
        <w:rPr>
          <w:rFonts w:ascii="Georgia" w:hAnsi="Georgia"/>
          <w:sz w:val="24"/>
          <w:szCs w:val="24"/>
        </w:rPr>
        <w:t xml:space="preserve"> </w:t>
      </w:r>
      <w:r w:rsidRPr="00A47D75">
        <w:rPr>
          <w:rFonts w:ascii="Georgia" w:hAnsi="Georgia"/>
          <w:i/>
          <w:sz w:val="24"/>
          <w:szCs w:val="24"/>
        </w:rPr>
        <w:t xml:space="preserve">Казанский финансово-экономический институт, 2007 год </w:t>
      </w:r>
    </w:p>
    <w:p w:rsidR="00254D99" w:rsidRPr="00A47D75" w:rsidRDefault="00254D99" w:rsidP="00254D99">
      <w:pPr>
        <w:autoSpaceDE w:val="0"/>
        <w:autoSpaceDN w:val="0"/>
        <w:adjustRightInd w:val="0"/>
        <w:spacing w:after="0" w:line="240" w:lineRule="auto"/>
        <w:jc w:val="both"/>
        <w:rPr>
          <w:rFonts w:ascii="Georgia" w:hAnsi="Georgia"/>
          <w:sz w:val="24"/>
          <w:szCs w:val="24"/>
        </w:rPr>
      </w:pPr>
      <w:r w:rsidRPr="00A47D75">
        <w:rPr>
          <w:rFonts w:ascii="Georgia" w:hAnsi="Georgia"/>
          <w:sz w:val="24"/>
          <w:szCs w:val="24"/>
          <w:u w:val="single"/>
        </w:rPr>
        <w:t>Квалификация:</w:t>
      </w:r>
      <w:r w:rsidRPr="00A47D75">
        <w:rPr>
          <w:rFonts w:ascii="Georgia" w:hAnsi="Georgia"/>
          <w:sz w:val="24"/>
          <w:szCs w:val="24"/>
        </w:rPr>
        <w:t xml:space="preserve"> </w:t>
      </w:r>
      <w:r w:rsidRPr="00A47D75">
        <w:rPr>
          <w:rFonts w:ascii="Georgia" w:hAnsi="Georgia"/>
          <w:i/>
          <w:sz w:val="24"/>
          <w:szCs w:val="24"/>
        </w:rPr>
        <w:t>экономист</w:t>
      </w:r>
    </w:p>
    <w:p w:rsidR="00254D99" w:rsidRPr="007D5972" w:rsidRDefault="00254D99" w:rsidP="00FF5718">
      <w:pPr>
        <w:pStyle w:val="ab"/>
        <w:spacing w:before="0" w:beforeAutospacing="0" w:after="0" w:afterAutospacing="0"/>
        <w:rPr>
          <w:rFonts w:ascii="Georgia" w:hAnsi="Georgia" w:cs="Tahoma"/>
          <w:b/>
          <w:i/>
          <w:sz w:val="14"/>
          <w:szCs w:val="14"/>
          <w:highlight w:val="yellow"/>
        </w:rPr>
      </w:pPr>
    </w:p>
    <w:p w:rsidR="00FF5718" w:rsidRPr="00A47D75" w:rsidRDefault="00FF5718" w:rsidP="00FF5718">
      <w:pPr>
        <w:pStyle w:val="ab"/>
        <w:spacing w:before="0" w:beforeAutospacing="0" w:after="0" w:afterAutospacing="0"/>
        <w:rPr>
          <w:rFonts w:ascii="Georgia" w:hAnsi="Georgia" w:cs="Tahoma"/>
          <w:b/>
          <w:i/>
        </w:rPr>
      </w:pPr>
      <w:r w:rsidRPr="00A47D75">
        <w:rPr>
          <w:rFonts w:ascii="Georgia" w:hAnsi="Georgia" w:cs="Tahoma"/>
          <w:b/>
          <w:i/>
        </w:rPr>
        <w:t xml:space="preserve">Финансовый директор </w:t>
      </w:r>
    </w:p>
    <w:p w:rsidR="00FF5718" w:rsidRPr="00A47D75" w:rsidRDefault="00FF5718" w:rsidP="00254D99">
      <w:pPr>
        <w:spacing w:before="60" w:after="60" w:line="240" w:lineRule="auto"/>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Хазиев Альмир Фарильевич</w:t>
      </w:r>
    </w:p>
    <w:p w:rsidR="00FF5718" w:rsidRPr="00A47D75" w:rsidRDefault="00FF5718" w:rsidP="00FF5718">
      <w:pPr>
        <w:pStyle w:val="ab"/>
        <w:spacing w:before="0" w:beforeAutospacing="0" w:after="0" w:afterAutospacing="0"/>
        <w:rPr>
          <w:rFonts w:ascii="Georgia" w:hAnsi="Georgia" w:cs="Tahoma"/>
        </w:rPr>
      </w:pPr>
      <w:r w:rsidRPr="00A47D75">
        <w:rPr>
          <w:rFonts w:ascii="Georgia" w:hAnsi="Georgia"/>
          <w:u w:val="single"/>
        </w:rPr>
        <w:t>Год рождения:</w:t>
      </w:r>
      <w:r w:rsidRPr="00A47D75">
        <w:rPr>
          <w:rFonts w:ascii="Georgia" w:hAnsi="Georgia" w:cs="Tahoma"/>
          <w:b/>
        </w:rPr>
        <w:t xml:space="preserve"> </w:t>
      </w:r>
      <w:r w:rsidRPr="00A47D75">
        <w:rPr>
          <w:rFonts w:ascii="Georgia" w:hAnsi="Georgia" w:cs="Tahoma"/>
        </w:rPr>
        <w:t>1973 г.</w:t>
      </w:r>
    </w:p>
    <w:p w:rsidR="00FF5718" w:rsidRPr="00A47D75" w:rsidRDefault="00FF5718" w:rsidP="00FF5718">
      <w:pPr>
        <w:spacing w:after="0" w:line="240" w:lineRule="auto"/>
        <w:rPr>
          <w:rFonts w:ascii="Georgia" w:hAnsi="Georgia"/>
          <w:sz w:val="24"/>
          <w:szCs w:val="24"/>
          <w:u w:val="single"/>
        </w:rPr>
      </w:pPr>
      <w:r w:rsidRPr="00A47D75">
        <w:rPr>
          <w:rFonts w:ascii="Georgia" w:hAnsi="Georgia"/>
          <w:sz w:val="24"/>
          <w:szCs w:val="24"/>
          <w:u w:val="single"/>
        </w:rPr>
        <w:t xml:space="preserve">Сведения об образовании, год окончания: </w:t>
      </w:r>
    </w:p>
    <w:p w:rsidR="00FF5718" w:rsidRPr="00A47D75" w:rsidRDefault="00FF5718" w:rsidP="00FF5718">
      <w:pPr>
        <w:spacing w:after="0" w:line="240" w:lineRule="auto"/>
        <w:rPr>
          <w:rFonts w:ascii="Georgia" w:hAnsi="Georgia"/>
          <w:i/>
          <w:sz w:val="24"/>
          <w:szCs w:val="24"/>
        </w:rPr>
      </w:pPr>
      <w:r w:rsidRPr="00A47D75">
        <w:rPr>
          <w:rFonts w:ascii="Georgia" w:hAnsi="Georgia"/>
          <w:i/>
          <w:sz w:val="24"/>
          <w:szCs w:val="24"/>
        </w:rPr>
        <w:t>Казанский финансово-экономический институт им. В.В. Куйбышева,</w:t>
      </w:r>
      <w:r w:rsidR="009F58C0" w:rsidRPr="00A47D75">
        <w:rPr>
          <w:rFonts w:ascii="Georgia" w:hAnsi="Georgia"/>
          <w:i/>
          <w:sz w:val="24"/>
          <w:szCs w:val="24"/>
        </w:rPr>
        <w:t xml:space="preserve"> </w:t>
      </w:r>
      <w:r w:rsidRPr="00A47D75">
        <w:rPr>
          <w:rFonts w:ascii="Georgia" w:hAnsi="Georgia"/>
          <w:i/>
          <w:sz w:val="24"/>
          <w:szCs w:val="24"/>
        </w:rPr>
        <w:t>1995 г.</w:t>
      </w:r>
    </w:p>
    <w:p w:rsidR="00FF5718" w:rsidRPr="00A47D75" w:rsidRDefault="00FF5718" w:rsidP="00FF5718">
      <w:pPr>
        <w:autoSpaceDE w:val="0"/>
        <w:autoSpaceDN w:val="0"/>
        <w:adjustRightInd w:val="0"/>
        <w:spacing w:after="0" w:line="240" w:lineRule="auto"/>
        <w:jc w:val="both"/>
        <w:rPr>
          <w:rFonts w:ascii="Georgia" w:hAnsi="Georgia"/>
          <w:sz w:val="24"/>
          <w:szCs w:val="24"/>
        </w:rPr>
      </w:pPr>
      <w:r w:rsidRPr="00A47D75">
        <w:rPr>
          <w:rFonts w:ascii="Georgia" w:hAnsi="Georgia"/>
          <w:sz w:val="24"/>
          <w:szCs w:val="24"/>
          <w:u w:val="single"/>
        </w:rPr>
        <w:t>Квалификация:</w:t>
      </w:r>
      <w:r w:rsidRPr="00A47D75">
        <w:rPr>
          <w:rFonts w:ascii="Georgia" w:hAnsi="Georgia"/>
          <w:sz w:val="24"/>
          <w:szCs w:val="24"/>
        </w:rPr>
        <w:t xml:space="preserve"> </w:t>
      </w:r>
      <w:r w:rsidRPr="00A47D75">
        <w:rPr>
          <w:rFonts w:ascii="Georgia" w:hAnsi="Georgia"/>
          <w:i/>
          <w:sz w:val="24"/>
          <w:szCs w:val="24"/>
        </w:rPr>
        <w:t>экономист</w:t>
      </w:r>
    </w:p>
    <w:p w:rsidR="00FF5718" w:rsidRPr="007D5972" w:rsidRDefault="00FF5718" w:rsidP="00FF5718">
      <w:pPr>
        <w:spacing w:after="0" w:line="240" w:lineRule="auto"/>
        <w:rPr>
          <w:rFonts w:ascii="Georgia" w:hAnsi="Georgia"/>
          <w:sz w:val="14"/>
          <w:szCs w:val="14"/>
          <w:highlight w:val="yellow"/>
        </w:rPr>
      </w:pPr>
    </w:p>
    <w:p w:rsidR="00FF5718" w:rsidRPr="00A47D75" w:rsidRDefault="00FF5718" w:rsidP="00FF5718">
      <w:pPr>
        <w:spacing w:after="0" w:line="240" w:lineRule="auto"/>
        <w:rPr>
          <w:rFonts w:ascii="Georgia" w:hAnsi="Georgia"/>
          <w:b/>
          <w:i/>
          <w:sz w:val="24"/>
          <w:szCs w:val="24"/>
        </w:rPr>
      </w:pPr>
      <w:r w:rsidRPr="00A47D75">
        <w:rPr>
          <w:rFonts w:ascii="Georgia" w:hAnsi="Georgia"/>
          <w:b/>
          <w:i/>
          <w:sz w:val="24"/>
          <w:szCs w:val="24"/>
        </w:rPr>
        <w:t xml:space="preserve">Главный бухгалтер </w:t>
      </w:r>
    </w:p>
    <w:p w:rsidR="00FF5718" w:rsidRPr="00A47D75" w:rsidRDefault="00FF5718" w:rsidP="00254D99">
      <w:pPr>
        <w:spacing w:before="60" w:after="60" w:line="240" w:lineRule="auto"/>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Молева Наталья Ринатовна</w:t>
      </w:r>
    </w:p>
    <w:p w:rsidR="00FF5718" w:rsidRPr="00A47D75" w:rsidRDefault="00FF5718" w:rsidP="00FF5718">
      <w:pPr>
        <w:pStyle w:val="ab"/>
        <w:spacing w:before="0" w:beforeAutospacing="0" w:after="0" w:afterAutospacing="0"/>
        <w:rPr>
          <w:rFonts w:ascii="Georgia" w:hAnsi="Georgia" w:cs="Tahoma"/>
          <w:b/>
        </w:rPr>
      </w:pPr>
      <w:r w:rsidRPr="00A47D75">
        <w:rPr>
          <w:rFonts w:ascii="Georgia" w:hAnsi="Georgia"/>
          <w:u w:val="single"/>
        </w:rPr>
        <w:t>Год рождения:</w:t>
      </w:r>
      <w:r w:rsidRPr="00A47D75">
        <w:rPr>
          <w:rFonts w:ascii="Georgia" w:hAnsi="Georgia" w:cs="Tahoma"/>
          <w:b/>
        </w:rPr>
        <w:t xml:space="preserve"> </w:t>
      </w:r>
      <w:r w:rsidRPr="00A47D75">
        <w:rPr>
          <w:rFonts w:ascii="Georgia" w:hAnsi="Georgia" w:cs="Tahoma"/>
        </w:rPr>
        <w:t>1974 г.</w:t>
      </w:r>
    </w:p>
    <w:p w:rsidR="00FF5718" w:rsidRPr="00A47D75" w:rsidRDefault="00FF5718" w:rsidP="00FF5718">
      <w:pPr>
        <w:spacing w:after="0" w:line="240" w:lineRule="auto"/>
        <w:rPr>
          <w:rFonts w:ascii="Georgia" w:hAnsi="Georgia"/>
          <w:sz w:val="24"/>
          <w:szCs w:val="24"/>
          <w:u w:val="single"/>
        </w:rPr>
      </w:pPr>
      <w:r w:rsidRPr="00A47D75">
        <w:rPr>
          <w:rFonts w:ascii="Georgia" w:hAnsi="Georgia"/>
          <w:sz w:val="24"/>
          <w:szCs w:val="24"/>
          <w:u w:val="single"/>
        </w:rPr>
        <w:t xml:space="preserve">Сведения об образовании, год окончания: </w:t>
      </w:r>
    </w:p>
    <w:p w:rsidR="00FF5718" w:rsidRPr="00A47D75" w:rsidRDefault="00FF5718" w:rsidP="00FF5718">
      <w:pPr>
        <w:tabs>
          <w:tab w:val="left" w:pos="0"/>
        </w:tabs>
        <w:spacing w:after="0" w:line="240" w:lineRule="auto"/>
        <w:jc w:val="both"/>
        <w:rPr>
          <w:rFonts w:ascii="Georgia" w:hAnsi="Georgia"/>
          <w:sz w:val="24"/>
          <w:szCs w:val="24"/>
        </w:rPr>
      </w:pPr>
      <w:r w:rsidRPr="00A47D75">
        <w:rPr>
          <w:rFonts w:ascii="Georgia" w:hAnsi="Georgia"/>
          <w:i/>
          <w:sz w:val="24"/>
          <w:szCs w:val="24"/>
        </w:rPr>
        <w:t>Московский государственный университет коммерции (Казанский филиал), 2000г</w:t>
      </w:r>
      <w:r w:rsidRPr="00A47D75">
        <w:rPr>
          <w:rFonts w:ascii="Georgia" w:hAnsi="Georgia"/>
          <w:sz w:val="24"/>
          <w:szCs w:val="24"/>
        </w:rPr>
        <w:t>.</w:t>
      </w:r>
    </w:p>
    <w:p w:rsidR="00FF5718" w:rsidRPr="00A47D75" w:rsidRDefault="00FF5718" w:rsidP="00FF5718">
      <w:pPr>
        <w:tabs>
          <w:tab w:val="left" w:pos="0"/>
        </w:tabs>
        <w:spacing w:after="0" w:line="240" w:lineRule="auto"/>
        <w:jc w:val="both"/>
        <w:rPr>
          <w:rFonts w:ascii="Georgia" w:hAnsi="Georgia"/>
          <w:i/>
          <w:sz w:val="24"/>
          <w:szCs w:val="24"/>
        </w:rPr>
      </w:pPr>
      <w:r w:rsidRPr="00A47D75">
        <w:rPr>
          <w:rFonts w:ascii="Georgia" w:hAnsi="Georgia"/>
          <w:sz w:val="24"/>
          <w:szCs w:val="24"/>
          <w:u w:val="single"/>
        </w:rPr>
        <w:t>Квалификация:</w:t>
      </w:r>
      <w:r w:rsidRPr="00A47D75">
        <w:rPr>
          <w:rFonts w:ascii="Georgia" w:hAnsi="Georgia"/>
          <w:sz w:val="24"/>
          <w:szCs w:val="24"/>
        </w:rPr>
        <w:t xml:space="preserve"> </w:t>
      </w:r>
      <w:r w:rsidRPr="00A47D75">
        <w:rPr>
          <w:rFonts w:ascii="Georgia" w:hAnsi="Georgia"/>
          <w:i/>
          <w:sz w:val="24"/>
          <w:szCs w:val="24"/>
        </w:rPr>
        <w:t>экономист по</w:t>
      </w:r>
      <w:r w:rsidRPr="00A47D75">
        <w:rPr>
          <w:rFonts w:ascii="Georgia" w:hAnsi="Georgia"/>
          <w:sz w:val="24"/>
          <w:szCs w:val="24"/>
        </w:rPr>
        <w:t xml:space="preserve"> с</w:t>
      </w:r>
      <w:r w:rsidRPr="00A47D75">
        <w:rPr>
          <w:rFonts w:ascii="Georgia" w:hAnsi="Georgia"/>
          <w:i/>
          <w:sz w:val="24"/>
          <w:szCs w:val="24"/>
        </w:rPr>
        <w:t>пециальности Бухгалтерский учет и аудит.</w:t>
      </w:r>
    </w:p>
    <w:p w:rsidR="00FF5718" w:rsidRPr="00A47D75" w:rsidRDefault="00FF5718" w:rsidP="00FF5718">
      <w:pPr>
        <w:tabs>
          <w:tab w:val="left" w:pos="0"/>
        </w:tabs>
        <w:spacing w:after="0" w:line="240" w:lineRule="auto"/>
        <w:jc w:val="both"/>
        <w:rPr>
          <w:rFonts w:ascii="Georgia" w:hAnsi="Georgia"/>
          <w:i/>
          <w:sz w:val="14"/>
          <w:szCs w:val="14"/>
        </w:rPr>
      </w:pPr>
    </w:p>
    <w:p w:rsidR="00FF5718" w:rsidRPr="00A47D75" w:rsidRDefault="00FF5718" w:rsidP="00FF5718">
      <w:pPr>
        <w:spacing w:after="0" w:line="240" w:lineRule="auto"/>
        <w:rPr>
          <w:rFonts w:ascii="Georgia" w:hAnsi="Georgia"/>
          <w:b/>
          <w:i/>
          <w:sz w:val="24"/>
          <w:szCs w:val="24"/>
        </w:rPr>
      </w:pPr>
      <w:r w:rsidRPr="00A47D75">
        <w:rPr>
          <w:rFonts w:ascii="Georgia" w:hAnsi="Georgia"/>
          <w:b/>
          <w:i/>
          <w:sz w:val="24"/>
          <w:szCs w:val="24"/>
        </w:rPr>
        <w:t xml:space="preserve">Начальник Казначейства </w:t>
      </w:r>
    </w:p>
    <w:p w:rsidR="00FF5718" w:rsidRPr="00A47D75" w:rsidRDefault="00FF5718" w:rsidP="00254D99">
      <w:pPr>
        <w:spacing w:before="60" w:after="60" w:line="240" w:lineRule="auto"/>
        <w:rPr>
          <w:rFonts w:ascii="Georgia" w:hAnsi="Georgia"/>
          <w:b/>
          <w:i/>
          <w:color w:val="365F91" w:themeColor="accent1" w:themeShade="BF"/>
          <w:sz w:val="28"/>
          <w:szCs w:val="24"/>
        </w:rPr>
      </w:pPr>
      <w:r w:rsidRPr="00A47D75">
        <w:rPr>
          <w:rFonts w:ascii="Georgia" w:hAnsi="Georgia"/>
          <w:b/>
          <w:i/>
          <w:color w:val="365F91" w:themeColor="accent1" w:themeShade="BF"/>
          <w:sz w:val="28"/>
          <w:szCs w:val="24"/>
        </w:rPr>
        <w:t>Грицко Екатерина Васильевна</w:t>
      </w:r>
    </w:p>
    <w:p w:rsidR="00FF5718" w:rsidRPr="00A47D75" w:rsidRDefault="00FF5718" w:rsidP="00FF5718">
      <w:pPr>
        <w:spacing w:after="0" w:line="240" w:lineRule="auto"/>
        <w:rPr>
          <w:rFonts w:ascii="Georgia" w:hAnsi="Georgia" w:cs="Tahoma"/>
          <w:b/>
          <w:sz w:val="24"/>
          <w:szCs w:val="24"/>
        </w:rPr>
      </w:pPr>
      <w:r w:rsidRPr="00A47D75">
        <w:rPr>
          <w:rFonts w:ascii="Georgia" w:hAnsi="Georgia"/>
          <w:sz w:val="24"/>
          <w:szCs w:val="24"/>
          <w:u w:val="single"/>
        </w:rPr>
        <w:t>Год рождения:</w:t>
      </w:r>
      <w:r w:rsidRPr="00A47D75">
        <w:rPr>
          <w:rFonts w:ascii="Georgia" w:hAnsi="Georgia" w:cs="Tahoma"/>
          <w:b/>
          <w:sz w:val="24"/>
          <w:szCs w:val="24"/>
        </w:rPr>
        <w:t xml:space="preserve"> </w:t>
      </w:r>
      <w:r w:rsidRPr="00A47D75">
        <w:rPr>
          <w:rFonts w:ascii="Georgia" w:hAnsi="Georgia" w:cs="Tahoma"/>
          <w:sz w:val="24"/>
          <w:szCs w:val="24"/>
        </w:rPr>
        <w:t>1978 г.</w:t>
      </w:r>
    </w:p>
    <w:p w:rsidR="00FF5718" w:rsidRPr="00A47D75" w:rsidRDefault="00FF5718" w:rsidP="00FF5718">
      <w:pPr>
        <w:tabs>
          <w:tab w:val="left" w:pos="0"/>
        </w:tabs>
        <w:spacing w:after="0" w:line="240" w:lineRule="auto"/>
        <w:jc w:val="both"/>
        <w:rPr>
          <w:rFonts w:ascii="Georgia" w:hAnsi="Georgia"/>
          <w:sz w:val="24"/>
          <w:szCs w:val="24"/>
          <w:u w:val="single"/>
        </w:rPr>
      </w:pPr>
      <w:r w:rsidRPr="00A47D75">
        <w:rPr>
          <w:rFonts w:ascii="Georgia" w:hAnsi="Georgia"/>
          <w:sz w:val="24"/>
          <w:szCs w:val="24"/>
          <w:u w:val="single"/>
        </w:rPr>
        <w:t xml:space="preserve">Сведения об образовании, год окончания: </w:t>
      </w:r>
    </w:p>
    <w:p w:rsidR="00FF5718" w:rsidRPr="00A47D75" w:rsidRDefault="00FF5718" w:rsidP="00FF5718">
      <w:pPr>
        <w:tabs>
          <w:tab w:val="left" w:pos="0"/>
        </w:tabs>
        <w:spacing w:after="0" w:line="240" w:lineRule="auto"/>
        <w:jc w:val="both"/>
        <w:rPr>
          <w:rFonts w:ascii="Georgia" w:hAnsi="Georgia"/>
          <w:i/>
          <w:sz w:val="24"/>
          <w:szCs w:val="24"/>
        </w:rPr>
      </w:pPr>
      <w:r w:rsidRPr="00A47D75">
        <w:rPr>
          <w:rFonts w:ascii="Georgia" w:hAnsi="Georgia"/>
          <w:i/>
          <w:sz w:val="24"/>
          <w:szCs w:val="24"/>
        </w:rPr>
        <w:t>Казанский финансово-экономический институт им. В.В. Куйбышева, 2000 г.</w:t>
      </w:r>
    </w:p>
    <w:p w:rsidR="00D004A1" w:rsidRPr="00A47D75" w:rsidRDefault="00FF5718" w:rsidP="0037139F">
      <w:pPr>
        <w:pStyle w:val="2014"/>
        <w:rPr>
          <w:i/>
        </w:rPr>
      </w:pPr>
      <w:r w:rsidRPr="00A47D75">
        <w:rPr>
          <w:u w:val="single"/>
        </w:rPr>
        <w:t>Квалификация:</w:t>
      </w:r>
      <w:r w:rsidRPr="00A47D75">
        <w:t xml:space="preserve"> </w:t>
      </w:r>
      <w:r w:rsidRPr="00A47D75">
        <w:rPr>
          <w:i/>
        </w:rPr>
        <w:t>экономист</w:t>
      </w:r>
    </w:p>
    <w:p w:rsidR="00D004A1" w:rsidRPr="007D5972" w:rsidRDefault="00D004A1" w:rsidP="00D004A1">
      <w:pPr>
        <w:pStyle w:val="1"/>
        <w:spacing w:before="0" w:line="240" w:lineRule="auto"/>
        <w:rPr>
          <w:noProof/>
          <w:color w:val="00B050"/>
          <w:sz w:val="20"/>
          <w:szCs w:val="20"/>
          <w:highlight w:val="yellow"/>
        </w:rPr>
      </w:pPr>
      <w:r w:rsidRPr="007D5972">
        <w:rPr>
          <w:rFonts w:eastAsiaTheme="minorHAnsi"/>
          <w:b w:val="0"/>
          <w:bCs w:val="0"/>
          <w:highlight w:val="yellow"/>
        </w:rPr>
        <w:br w:type="page"/>
      </w:r>
    </w:p>
    <w:p w:rsidR="00D004A1" w:rsidRPr="00425E4F" w:rsidRDefault="00D004A1" w:rsidP="0088564D">
      <w:pPr>
        <w:pStyle w:val="2014"/>
        <w:rPr>
          <w:noProof/>
          <w:sz w:val="20"/>
          <w:szCs w:val="20"/>
          <w:highlight w:val="yellow"/>
        </w:rPr>
      </w:pPr>
    </w:p>
    <w:p w:rsidR="00A47D75" w:rsidRPr="00A47D75" w:rsidRDefault="00A47D75" w:rsidP="00A47D75">
      <w:pPr>
        <w:autoSpaceDE w:val="0"/>
        <w:autoSpaceDN w:val="0"/>
        <w:adjustRightInd w:val="0"/>
        <w:spacing w:after="0" w:line="240" w:lineRule="auto"/>
        <w:jc w:val="both"/>
        <w:rPr>
          <w:rFonts w:ascii="Georgia" w:hAnsi="Georgia"/>
          <w:sz w:val="24"/>
          <w:szCs w:val="24"/>
        </w:rPr>
      </w:pPr>
      <w:r w:rsidRPr="00A47D75">
        <w:rPr>
          <w:rFonts w:ascii="Georgia" w:hAnsi="Georgia"/>
          <w:sz w:val="24"/>
          <w:szCs w:val="24"/>
        </w:rPr>
        <w:t>Председатель Правления и члены Правления Банка долями в уставном капитале и обыкновенными акциями Банка не владеют, в течение отчетного года сделок по приобретению или отчуждению акций Банка не совершали.</w:t>
      </w:r>
    </w:p>
    <w:p w:rsidR="00A47D75" w:rsidRPr="00A47D75" w:rsidRDefault="00A47D75" w:rsidP="0088564D">
      <w:pPr>
        <w:autoSpaceDE w:val="0"/>
        <w:autoSpaceDN w:val="0"/>
        <w:adjustRightInd w:val="0"/>
        <w:spacing w:after="0" w:line="240" w:lineRule="auto"/>
        <w:jc w:val="both"/>
        <w:rPr>
          <w:rFonts w:ascii="Georgia" w:hAnsi="Georgia"/>
          <w:sz w:val="24"/>
          <w:szCs w:val="24"/>
          <w:highlight w:val="yellow"/>
        </w:rPr>
      </w:pPr>
    </w:p>
    <w:p w:rsidR="0088564D" w:rsidRPr="007D5972" w:rsidRDefault="0088564D" w:rsidP="0088564D">
      <w:pPr>
        <w:spacing w:after="0" w:line="240" w:lineRule="auto"/>
        <w:rPr>
          <w:sz w:val="20"/>
          <w:szCs w:val="20"/>
          <w:highlight w:val="yellow"/>
        </w:rPr>
      </w:pPr>
    </w:p>
    <w:p w:rsidR="00D004A1" w:rsidRPr="009355AD" w:rsidRDefault="00D004A1" w:rsidP="00D004A1">
      <w:pPr>
        <w:pStyle w:val="1"/>
        <w:spacing w:before="0" w:line="240" w:lineRule="auto"/>
        <w:rPr>
          <w:noProof/>
          <w:color w:val="00B050"/>
          <w:sz w:val="39"/>
          <w:szCs w:val="39"/>
        </w:rPr>
      </w:pPr>
      <w:bookmarkStart w:id="56" w:name="_Toc448145483"/>
      <w:r w:rsidRPr="009355AD">
        <w:rPr>
          <w:noProof/>
          <w:color w:val="00B050"/>
          <w:sz w:val="39"/>
          <w:szCs w:val="39"/>
        </w:rPr>
        <w:t xml:space="preserve">Вознаграждения членам </w:t>
      </w:r>
      <w:r w:rsidR="0037139F" w:rsidRPr="009355AD">
        <w:rPr>
          <w:noProof/>
          <w:color w:val="00B050"/>
          <w:sz w:val="39"/>
          <w:szCs w:val="39"/>
        </w:rPr>
        <w:t>Правлени</w:t>
      </w:r>
      <w:r w:rsidR="001B64C0" w:rsidRPr="009355AD">
        <w:rPr>
          <w:noProof/>
          <w:color w:val="00B050"/>
          <w:sz w:val="39"/>
          <w:szCs w:val="39"/>
        </w:rPr>
        <w:t>я</w:t>
      </w:r>
      <w:bookmarkEnd w:id="56"/>
    </w:p>
    <w:p w:rsidR="00D004A1" w:rsidRPr="009355AD" w:rsidRDefault="00D004A1" w:rsidP="00D004A1">
      <w:pPr>
        <w:spacing w:after="0" w:line="240" w:lineRule="auto"/>
        <w:rPr>
          <w:sz w:val="20"/>
          <w:szCs w:val="20"/>
        </w:rPr>
      </w:pPr>
    </w:p>
    <w:p w:rsidR="00D004A1" w:rsidRPr="009355AD" w:rsidRDefault="00D004A1" w:rsidP="00F85653">
      <w:pPr>
        <w:autoSpaceDE w:val="0"/>
        <w:autoSpaceDN w:val="0"/>
        <w:adjustRightInd w:val="0"/>
        <w:spacing w:after="120" w:line="240" w:lineRule="auto"/>
        <w:jc w:val="both"/>
        <w:rPr>
          <w:rFonts w:ascii="Georgia" w:hAnsi="Georgia"/>
          <w:sz w:val="24"/>
          <w:szCs w:val="24"/>
        </w:rPr>
      </w:pPr>
      <w:r w:rsidRPr="009355AD">
        <w:rPr>
          <w:rFonts w:ascii="Georgia" w:hAnsi="Georgia"/>
          <w:sz w:val="24"/>
          <w:szCs w:val="24"/>
        </w:rPr>
        <w:t>Председатель Правления и члены Правления Банка долями в уставном капитале и обыкновенными акциями Банка не обладают, в течение отчетного года сделок по приобретению или отчуждению акций Банка не совершали.</w:t>
      </w:r>
    </w:p>
    <w:p w:rsidR="00D004A1" w:rsidRPr="009355AD" w:rsidRDefault="00D004A1" w:rsidP="00F85653">
      <w:pPr>
        <w:autoSpaceDE w:val="0"/>
        <w:autoSpaceDN w:val="0"/>
        <w:adjustRightInd w:val="0"/>
        <w:spacing w:after="120" w:line="240" w:lineRule="auto"/>
        <w:jc w:val="both"/>
        <w:rPr>
          <w:rFonts w:ascii="Georgia" w:hAnsi="Georgia"/>
          <w:sz w:val="24"/>
          <w:szCs w:val="24"/>
        </w:rPr>
      </w:pPr>
      <w:r w:rsidRPr="009355AD">
        <w:rPr>
          <w:rFonts w:ascii="Georgia" w:hAnsi="Georgia"/>
          <w:sz w:val="24"/>
          <w:szCs w:val="24"/>
        </w:rPr>
        <w:t>Общий фонд заработной платы членов Правления за 201</w:t>
      </w:r>
      <w:r w:rsidR="009355AD">
        <w:rPr>
          <w:rFonts w:ascii="Georgia" w:hAnsi="Georgia"/>
          <w:sz w:val="24"/>
          <w:szCs w:val="24"/>
        </w:rPr>
        <w:t>5</w:t>
      </w:r>
      <w:r w:rsidRPr="009355AD">
        <w:rPr>
          <w:rFonts w:ascii="Georgia" w:hAnsi="Georgia"/>
          <w:sz w:val="24"/>
          <w:szCs w:val="24"/>
        </w:rPr>
        <w:t xml:space="preserve"> год составил </w:t>
      </w:r>
      <w:r w:rsidR="009F58C0" w:rsidRPr="009355AD">
        <w:rPr>
          <w:rFonts w:ascii="Georgia" w:hAnsi="Georgia"/>
          <w:sz w:val="24"/>
          <w:szCs w:val="24"/>
        </w:rPr>
        <w:t xml:space="preserve"> </w:t>
      </w:r>
      <w:r w:rsidR="009355AD">
        <w:rPr>
          <w:rFonts w:ascii="Georgia" w:hAnsi="Georgia"/>
          <w:sz w:val="24"/>
          <w:szCs w:val="24"/>
        </w:rPr>
        <w:t xml:space="preserve"> </w:t>
      </w:r>
      <w:r w:rsidR="009F58C0" w:rsidRPr="009355AD">
        <w:rPr>
          <w:rFonts w:ascii="Georgia" w:hAnsi="Georgia"/>
          <w:sz w:val="24"/>
          <w:szCs w:val="24"/>
        </w:rPr>
        <w:t xml:space="preserve"> </w:t>
      </w:r>
      <w:r w:rsidR="009355AD">
        <w:rPr>
          <w:rFonts w:ascii="Georgia" w:hAnsi="Georgia"/>
          <w:sz w:val="24"/>
          <w:szCs w:val="24"/>
        </w:rPr>
        <w:t>19 160</w:t>
      </w:r>
      <w:r w:rsidRPr="009355AD">
        <w:rPr>
          <w:rFonts w:ascii="Georgia" w:hAnsi="Georgia"/>
          <w:sz w:val="24"/>
          <w:szCs w:val="24"/>
        </w:rPr>
        <w:t xml:space="preserve"> тыс. рублей. </w:t>
      </w:r>
    </w:p>
    <w:p w:rsidR="00D004A1" w:rsidRPr="009355AD" w:rsidRDefault="00D004A1" w:rsidP="00F85653">
      <w:pPr>
        <w:autoSpaceDE w:val="0"/>
        <w:autoSpaceDN w:val="0"/>
        <w:adjustRightInd w:val="0"/>
        <w:spacing w:after="120" w:line="240" w:lineRule="auto"/>
        <w:jc w:val="both"/>
        <w:rPr>
          <w:rFonts w:ascii="Georgia" w:hAnsi="Georgia"/>
          <w:sz w:val="24"/>
          <w:szCs w:val="24"/>
        </w:rPr>
      </w:pPr>
      <w:r w:rsidRPr="009355AD">
        <w:rPr>
          <w:rFonts w:ascii="Georgia" w:hAnsi="Georgia"/>
          <w:sz w:val="24"/>
          <w:szCs w:val="24"/>
        </w:rPr>
        <w:t>Дополнительного вознаграждения за работу в составе коллегиального исполнительного органа в Банке не предусмотрено.</w:t>
      </w:r>
    </w:p>
    <w:p w:rsidR="00D004A1" w:rsidRPr="007D5972" w:rsidRDefault="00D004A1" w:rsidP="00D004A1">
      <w:pPr>
        <w:rPr>
          <w:highlight w:val="yellow"/>
        </w:rPr>
      </w:pPr>
    </w:p>
    <w:p w:rsidR="00116AA1" w:rsidRPr="007D5972" w:rsidRDefault="00116AA1" w:rsidP="00FF5718">
      <w:pPr>
        <w:pStyle w:val="1"/>
        <w:spacing w:before="0" w:line="240" w:lineRule="auto"/>
        <w:rPr>
          <w:bCs w:val="0"/>
          <w:noProof/>
          <w:color w:val="00B050"/>
          <w:sz w:val="20"/>
          <w:szCs w:val="20"/>
          <w:highlight w:val="yellow"/>
        </w:rPr>
      </w:pPr>
      <w:r w:rsidRPr="007D5972">
        <w:rPr>
          <w:bCs w:val="0"/>
          <w:noProof/>
          <w:color w:val="00B050"/>
          <w:sz w:val="20"/>
          <w:szCs w:val="20"/>
          <w:highlight w:val="yellow"/>
        </w:rPr>
        <w:br w:type="page"/>
      </w:r>
    </w:p>
    <w:p w:rsidR="00C27CA9" w:rsidRPr="007D5972" w:rsidRDefault="00C27CA9" w:rsidP="001D2915">
      <w:pPr>
        <w:spacing w:after="0" w:line="240" w:lineRule="auto"/>
        <w:rPr>
          <w:rFonts w:asciiTheme="majorHAnsi" w:eastAsiaTheme="majorEastAsia" w:hAnsiTheme="majorHAnsi" w:cstheme="majorBidi"/>
          <w:b/>
          <w:bCs/>
          <w:noProof/>
          <w:color w:val="00B050"/>
          <w:sz w:val="20"/>
          <w:szCs w:val="20"/>
          <w:highlight w:val="yellow"/>
        </w:rPr>
      </w:pPr>
    </w:p>
    <w:p w:rsidR="00454595" w:rsidRPr="00591470" w:rsidRDefault="00171BBD" w:rsidP="001D2915">
      <w:pPr>
        <w:pStyle w:val="1"/>
        <w:spacing w:before="0" w:line="240" w:lineRule="auto"/>
        <w:rPr>
          <w:noProof/>
          <w:color w:val="00B050"/>
          <w:sz w:val="40"/>
        </w:rPr>
      </w:pPr>
      <w:bookmarkStart w:id="57" w:name="_Toc448145484"/>
      <w:r w:rsidRPr="00591470">
        <w:rPr>
          <w:noProof/>
          <w:color w:val="00B050"/>
          <w:sz w:val="40"/>
        </w:rPr>
        <w:t>Сведения о крупных сделках и о сделках с заинтересованностью</w:t>
      </w:r>
      <w:bookmarkEnd w:id="57"/>
    </w:p>
    <w:p w:rsidR="00454595" w:rsidRPr="007D5972" w:rsidRDefault="00454595" w:rsidP="00454595">
      <w:pPr>
        <w:spacing w:after="0" w:line="240" w:lineRule="auto"/>
        <w:rPr>
          <w:rFonts w:asciiTheme="majorHAnsi" w:eastAsiaTheme="majorEastAsia" w:hAnsiTheme="majorHAnsi" w:cstheme="majorBidi"/>
          <w:b/>
          <w:bCs/>
          <w:noProof/>
          <w:color w:val="00B050"/>
          <w:sz w:val="20"/>
          <w:szCs w:val="20"/>
          <w:highlight w:val="yellow"/>
        </w:rPr>
      </w:pPr>
    </w:p>
    <w:p w:rsidR="00A47D75" w:rsidRPr="00A47D75" w:rsidRDefault="00A47D75" w:rsidP="00A47D75">
      <w:pPr>
        <w:autoSpaceDE w:val="0"/>
        <w:autoSpaceDN w:val="0"/>
        <w:adjustRightInd w:val="0"/>
        <w:spacing w:after="120" w:line="240" w:lineRule="auto"/>
        <w:jc w:val="both"/>
        <w:rPr>
          <w:rFonts w:ascii="Georgia" w:hAnsi="Georgia" w:cs="Times New Roman"/>
          <w:bCs/>
          <w:sz w:val="24"/>
          <w:szCs w:val="24"/>
        </w:rPr>
      </w:pPr>
      <w:r w:rsidRPr="00A47D75">
        <w:rPr>
          <w:rFonts w:ascii="Georgia" w:hAnsi="Georgia" w:cs="Times New Roman"/>
          <w:bCs/>
          <w:sz w:val="24"/>
          <w:szCs w:val="24"/>
        </w:rPr>
        <w:t xml:space="preserve">В 2015 году Банком не осуществлялось сделок, признаваемых </w:t>
      </w:r>
      <w:r w:rsidRPr="00A47D75">
        <w:rPr>
          <w:rFonts w:ascii="Georgia" w:hAnsi="Georgia" w:cs="Times New Roman"/>
          <w:b/>
          <w:bCs/>
          <w:i/>
          <w:sz w:val="24"/>
          <w:szCs w:val="24"/>
        </w:rPr>
        <w:t>крупными сделками</w:t>
      </w:r>
      <w:r w:rsidRPr="00A47D75">
        <w:rPr>
          <w:rFonts w:ascii="Georgia" w:hAnsi="Georgia" w:cs="Times New Roman"/>
          <w:bCs/>
          <w:sz w:val="24"/>
          <w:szCs w:val="24"/>
        </w:rPr>
        <w:t xml:space="preserve"> в соответствии с Федеральным законом «Об акционерных обществах», а также иных сделок, на совершение которых в соответствии с Уставом ПАО «ИнтехБанк» распространяется порядок одобрения крупных сделок.</w:t>
      </w:r>
    </w:p>
    <w:p w:rsidR="00A47D75" w:rsidRPr="00A47D75" w:rsidRDefault="00A47D75" w:rsidP="00A47D75">
      <w:pPr>
        <w:autoSpaceDE w:val="0"/>
        <w:autoSpaceDN w:val="0"/>
        <w:adjustRightInd w:val="0"/>
        <w:spacing w:after="120" w:line="240" w:lineRule="auto"/>
        <w:jc w:val="both"/>
        <w:rPr>
          <w:rFonts w:ascii="Georgia" w:hAnsi="Georgia" w:cs="Times New Roman"/>
          <w:bCs/>
          <w:sz w:val="24"/>
          <w:szCs w:val="24"/>
        </w:rPr>
      </w:pPr>
      <w:r w:rsidRPr="00A47D75">
        <w:rPr>
          <w:rFonts w:ascii="Georgia" w:hAnsi="Georgia" w:cs="Times New Roman"/>
          <w:bCs/>
          <w:sz w:val="24"/>
          <w:szCs w:val="24"/>
        </w:rPr>
        <w:t xml:space="preserve">Совершение </w:t>
      </w:r>
      <w:r w:rsidRPr="00A47D75">
        <w:rPr>
          <w:rFonts w:ascii="Georgia" w:hAnsi="Georgia" w:cs="Times New Roman"/>
          <w:b/>
          <w:bCs/>
          <w:i/>
          <w:sz w:val="24"/>
          <w:szCs w:val="24"/>
        </w:rPr>
        <w:t>сделок с заинтересованностью</w:t>
      </w:r>
      <w:r w:rsidRPr="00A47D75">
        <w:rPr>
          <w:rFonts w:ascii="Georgia" w:hAnsi="Georgia" w:cs="Times New Roman"/>
          <w:bCs/>
          <w:sz w:val="24"/>
          <w:szCs w:val="24"/>
        </w:rPr>
        <w:t xml:space="preserve"> за 2015 года одобрено решениями Общего собрания акционеров ПАО «ИнтехБанк» 28 мая 2014 года (Приложение №1 к Протоколу №16 годового Общего собрания акционеров ПАО «ИнтехБанк» от 30.05.2014 г.) и 28 мая 2015 года (Приложение №1 к Протоколу № 19 годового Общего собрания акционеров ПАО «ИнтехБанк» от 02.06.2015 г.).</w:t>
      </w:r>
    </w:p>
    <w:p w:rsidR="00A47D75" w:rsidRPr="00A47D75" w:rsidRDefault="00A47D75" w:rsidP="00454595">
      <w:pPr>
        <w:autoSpaceDE w:val="0"/>
        <w:autoSpaceDN w:val="0"/>
        <w:adjustRightInd w:val="0"/>
        <w:spacing w:after="120" w:line="240" w:lineRule="auto"/>
        <w:jc w:val="both"/>
        <w:rPr>
          <w:rFonts w:ascii="Georgia" w:hAnsi="Georgia" w:cs="Georgia-Bold"/>
          <w:bCs/>
          <w:color w:val="000000"/>
          <w:sz w:val="24"/>
          <w:szCs w:val="24"/>
          <w:highlight w:val="yellow"/>
        </w:rPr>
      </w:pPr>
    </w:p>
    <w:p w:rsidR="00454595" w:rsidRPr="00F030C4" w:rsidRDefault="00454595" w:rsidP="00454595">
      <w:pPr>
        <w:autoSpaceDE w:val="0"/>
        <w:autoSpaceDN w:val="0"/>
        <w:adjustRightInd w:val="0"/>
        <w:rPr>
          <w:rFonts w:ascii="Georgia" w:hAnsi="Georgia"/>
          <w:b/>
          <w:i/>
          <w:color w:val="365F91" w:themeColor="accent1" w:themeShade="BF"/>
          <w:sz w:val="28"/>
          <w:szCs w:val="24"/>
        </w:rPr>
      </w:pPr>
      <w:r w:rsidRPr="00F030C4">
        <w:rPr>
          <w:rFonts w:ascii="Georgia" w:hAnsi="Georgia"/>
          <w:b/>
          <w:i/>
          <w:color w:val="365F91" w:themeColor="accent1" w:themeShade="BF"/>
          <w:sz w:val="28"/>
          <w:szCs w:val="24"/>
        </w:rPr>
        <w:t>Сделки с заинтересованностью</w:t>
      </w:r>
      <w:r w:rsidR="007366DC" w:rsidRPr="00F030C4">
        <w:rPr>
          <w:rFonts w:ascii="Georgia" w:hAnsi="Georgia"/>
          <w:b/>
          <w:i/>
          <w:color w:val="365F91" w:themeColor="accent1" w:themeShade="BF"/>
          <w:sz w:val="28"/>
          <w:szCs w:val="24"/>
        </w:rPr>
        <w:t xml:space="preserve"> </w:t>
      </w:r>
      <w:r w:rsidR="00374BD0">
        <w:rPr>
          <w:rFonts w:ascii="Georgia" w:hAnsi="Georgia"/>
          <w:b/>
          <w:i/>
          <w:color w:val="365F91" w:themeColor="accent1" w:themeShade="BF"/>
          <w:sz w:val="28"/>
          <w:szCs w:val="24"/>
        </w:rPr>
        <w:t>П</w:t>
      </w:r>
      <w:r w:rsidR="007366DC" w:rsidRPr="00F030C4">
        <w:rPr>
          <w:rFonts w:ascii="Georgia" w:hAnsi="Georgia"/>
          <w:b/>
          <w:i/>
          <w:color w:val="365F91" w:themeColor="accent1" w:themeShade="BF"/>
          <w:sz w:val="28"/>
          <w:szCs w:val="24"/>
        </w:rPr>
        <w:t>АО «ИнтехБанк»</w:t>
      </w:r>
      <w:r w:rsidRPr="00F030C4">
        <w:rPr>
          <w:rFonts w:ascii="Georgia" w:hAnsi="Georgia"/>
          <w:b/>
          <w:i/>
          <w:color w:val="365F91" w:themeColor="accent1" w:themeShade="BF"/>
          <w:sz w:val="28"/>
          <w:szCs w:val="24"/>
        </w:rPr>
        <w:t>, совершенные в 201</w:t>
      </w:r>
      <w:r w:rsidR="00F030C4" w:rsidRPr="00F030C4">
        <w:rPr>
          <w:rFonts w:ascii="Georgia" w:hAnsi="Georgia"/>
          <w:b/>
          <w:i/>
          <w:color w:val="365F91" w:themeColor="accent1" w:themeShade="BF"/>
          <w:sz w:val="28"/>
          <w:szCs w:val="24"/>
        </w:rPr>
        <w:t>5</w:t>
      </w:r>
      <w:r w:rsidRPr="00F030C4">
        <w:rPr>
          <w:rFonts w:ascii="Georgia" w:hAnsi="Georgia"/>
          <w:b/>
          <w:i/>
          <w:color w:val="365F91" w:themeColor="accent1" w:themeShade="BF"/>
          <w:sz w:val="28"/>
          <w:szCs w:val="24"/>
        </w:rPr>
        <w:t>году</w:t>
      </w:r>
    </w:p>
    <w:tbl>
      <w:tblPr>
        <w:tblW w:w="8647" w:type="dxa"/>
        <w:tblInd w:w="108" w:type="dxa"/>
        <w:tblLook w:val="04A0" w:firstRow="1" w:lastRow="0" w:firstColumn="1" w:lastColumn="0" w:noHBand="0" w:noVBand="1"/>
      </w:tblPr>
      <w:tblGrid>
        <w:gridCol w:w="970"/>
        <w:gridCol w:w="1527"/>
        <w:gridCol w:w="3882"/>
        <w:gridCol w:w="2268"/>
      </w:tblGrid>
      <w:tr w:rsidR="00A47D75" w:rsidRPr="00A47D75" w:rsidTr="00A47D75">
        <w:trPr>
          <w:trHeight w:val="315"/>
        </w:trPr>
        <w:tc>
          <w:tcPr>
            <w:tcW w:w="970" w:type="dxa"/>
            <w:tcBorders>
              <w:top w:val="nil"/>
              <w:left w:val="nil"/>
              <w:bottom w:val="single" w:sz="8" w:space="0" w:color="95B3D7"/>
              <w:right w:val="nil"/>
            </w:tcBorders>
            <w:shd w:val="clear" w:color="000000" w:fill="B8CCE4"/>
            <w:noWrap/>
            <w:vAlign w:val="center"/>
            <w:hideMark/>
          </w:tcPr>
          <w:p w:rsidR="00A47D75" w:rsidRPr="00F030C4" w:rsidRDefault="00A47D75" w:rsidP="00A47D75">
            <w:pPr>
              <w:spacing w:after="0" w:line="240" w:lineRule="auto"/>
              <w:jc w:val="center"/>
              <w:rPr>
                <w:rFonts w:ascii="Georgia" w:eastAsia="Times New Roman" w:hAnsi="Georgia" w:cs="Calibri"/>
                <w:b/>
                <w:bCs/>
                <w:color w:val="1F497D"/>
                <w:sz w:val="20"/>
                <w:szCs w:val="20"/>
              </w:rPr>
            </w:pPr>
            <w:r w:rsidRPr="00F030C4">
              <w:rPr>
                <w:rFonts w:ascii="Georgia" w:eastAsia="Times New Roman" w:hAnsi="Georgia" w:cs="Calibri"/>
                <w:b/>
                <w:bCs/>
                <w:color w:val="1F497D"/>
                <w:sz w:val="20"/>
                <w:szCs w:val="20"/>
              </w:rPr>
              <w:t>№ п/п</w:t>
            </w:r>
          </w:p>
        </w:tc>
        <w:tc>
          <w:tcPr>
            <w:tcW w:w="1527" w:type="dxa"/>
            <w:tcBorders>
              <w:top w:val="nil"/>
              <w:left w:val="nil"/>
              <w:bottom w:val="single" w:sz="8" w:space="0" w:color="95B3D7"/>
              <w:right w:val="nil"/>
            </w:tcBorders>
            <w:shd w:val="clear" w:color="000000" w:fill="B8CCE4"/>
            <w:noWrap/>
            <w:vAlign w:val="center"/>
            <w:hideMark/>
          </w:tcPr>
          <w:p w:rsidR="00A47D75" w:rsidRPr="00F030C4" w:rsidRDefault="00A47D75" w:rsidP="00A47D75">
            <w:pPr>
              <w:spacing w:after="0" w:line="240" w:lineRule="auto"/>
              <w:jc w:val="center"/>
              <w:rPr>
                <w:rFonts w:ascii="Georgia" w:eastAsia="Times New Roman" w:hAnsi="Georgia" w:cs="Calibri"/>
                <w:b/>
                <w:bCs/>
                <w:color w:val="1F497D"/>
                <w:sz w:val="20"/>
                <w:szCs w:val="20"/>
              </w:rPr>
            </w:pPr>
            <w:r w:rsidRPr="00F030C4">
              <w:rPr>
                <w:rFonts w:ascii="Georgia" w:eastAsia="Times New Roman" w:hAnsi="Georgia" w:cs="Calibri"/>
                <w:b/>
                <w:bCs/>
                <w:color w:val="1F497D"/>
                <w:sz w:val="20"/>
                <w:szCs w:val="20"/>
              </w:rPr>
              <w:t>Дата сделки</w:t>
            </w:r>
          </w:p>
        </w:tc>
        <w:tc>
          <w:tcPr>
            <w:tcW w:w="3882" w:type="dxa"/>
            <w:tcBorders>
              <w:top w:val="nil"/>
              <w:left w:val="nil"/>
              <w:bottom w:val="single" w:sz="8" w:space="0" w:color="95B3D7"/>
              <w:right w:val="nil"/>
            </w:tcBorders>
            <w:shd w:val="clear" w:color="000000" w:fill="B8CCE4"/>
            <w:noWrap/>
            <w:vAlign w:val="center"/>
            <w:hideMark/>
          </w:tcPr>
          <w:p w:rsidR="00A47D75" w:rsidRPr="00F030C4" w:rsidRDefault="00A47D75" w:rsidP="00A47D75">
            <w:pPr>
              <w:spacing w:after="0" w:line="240" w:lineRule="auto"/>
              <w:jc w:val="center"/>
              <w:rPr>
                <w:rFonts w:ascii="Georgia" w:eastAsia="Times New Roman" w:hAnsi="Georgia" w:cs="Calibri"/>
                <w:b/>
                <w:bCs/>
                <w:color w:val="1F497D"/>
                <w:sz w:val="20"/>
                <w:szCs w:val="20"/>
              </w:rPr>
            </w:pPr>
            <w:r w:rsidRPr="00F030C4">
              <w:rPr>
                <w:rFonts w:ascii="Georgia" w:eastAsia="Times New Roman" w:hAnsi="Georgia" w:cs="Calibri"/>
                <w:b/>
                <w:bCs/>
                <w:color w:val="1F497D"/>
                <w:sz w:val="20"/>
                <w:szCs w:val="20"/>
              </w:rPr>
              <w:t>Контрагент</w:t>
            </w:r>
          </w:p>
        </w:tc>
        <w:tc>
          <w:tcPr>
            <w:tcW w:w="2268" w:type="dxa"/>
            <w:tcBorders>
              <w:top w:val="nil"/>
              <w:left w:val="nil"/>
              <w:bottom w:val="single" w:sz="8" w:space="0" w:color="95B3D7"/>
              <w:right w:val="nil"/>
            </w:tcBorders>
            <w:shd w:val="clear" w:color="000000" w:fill="B8CCE4"/>
            <w:noWrap/>
            <w:vAlign w:val="bottom"/>
            <w:hideMark/>
          </w:tcPr>
          <w:p w:rsidR="00A47D75" w:rsidRPr="00F030C4" w:rsidRDefault="00A47D75" w:rsidP="00A47D75">
            <w:pPr>
              <w:spacing w:after="0" w:line="240" w:lineRule="auto"/>
              <w:jc w:val="center"/>
              <w:rPr>
                <w:rFonts w:ascii="Georgia" w:eastAsia="Times New Roman" w:hAnsi="Georgia" w:cs="Calibri"/>
                <w:b/>
                <w:bCs/>
                <w:color w:val="1F497D"/>
                <w:sz w:val="20"/>
                <w:szCs w:val="20"/>
              </w:rPr>
            </w:pPr>
            <w:r w:rsidRPr="00F030C4">
              <w:rPr>
                <w:rFonts w:ascii="Georgia" w:eastAsia="Times New Roman" w:hAnsi="Georgia" w:cs="Calibri"/>
                <w:b/>
                <w:bCs/>
                <w:color w:val="1F497D"/>
                <w:sz w:val="20"/>
                <w:szCs w:val="20"/>
              </w:rPr>
              <w:t>Сумма сделки, руб.</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15.01.2015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49 420,00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30.01.2015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Никифоров Ильдар Афанасьевич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2 000 000,00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18.02.2015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66 000,00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18.02.2015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7 500 000,00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27.02.2015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38 890,00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02.03.2015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Сафин Феликс Ильдарович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7 000 000,00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04.03.2015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66 000,00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06.03.2015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Грицко Екатерина Васильевна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4 800 000,00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16.03.2015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"ГТК "Казань"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137 719 698,20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17.03.2015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33 490,00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23.03.2015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Молева Наталья Ринатовна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6 231 000,00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30.03.2015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7 500 000,00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13.04.2015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4 230 000,00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15.04.2015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66 000,00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21.04.2015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39 810,00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29.04.2015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"Бытовая электроника"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25 000 000,00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29.04.2015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"Бытовая электроника"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25 420 857,95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29.04.2015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Поляков Владимир Николаевич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3 000 000,00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08.05.2015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Наумова Татьяна Владимировна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4 700 000,00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13.05.2015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"ТФБ Холдинг"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66 000,00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42 400,00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21.05.2015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"Бытовая электроника"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25 000 000,00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21.05.2015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"Бытовая электроника"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25 420 857,95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27.05.2015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16 200 000,00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11.06.2015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Наумова Елена Андреевна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lastRenderedPageBreak/>
              <w:t>26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39 560,00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46 720,00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39 055,00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48 000,00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24.06.2015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39 560,00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25.06.2015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16 667 998,84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"Тринити"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89 907 347,04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30.06.2015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Сафин Феликс Ильдарович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450 000,00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01.07.2015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"ИК "ТТК"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13.07.2015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Грицко Екатерина Васильевна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2 000 000,00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13.07.2015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ЗАО "Перспектива"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16.07.2015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1 097 007,85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23.07.2015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1 233 180,00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28.07.2015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ЗАО "Перспектива"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30.07.2015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00F030C4"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17 000 000,00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05.08.2015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Грицко Екатерина Васильевна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68 996,10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14.08.2015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"Бытовая Электроника"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17.08.2015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ЗАО "Перспектива"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27.08.2015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 Альмир Фарильевич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03.09.2015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Грицко Екатерина Васильевна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18 000,00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03.09.2015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ЗАО "Перспектива"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Наумова Елена Андреевна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6 184 970,00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 Альмир Фарильевич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6 119 920,00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49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 Альмир Фарильевич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3 544 820,00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Теркулов Нияз Каримович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6 107 110,00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Теркулов Нияз Каримович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Наумова Татьяна Владимировна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4 647 640,00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12.09.2015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Хазиева Зульфира Вафовна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91 019,58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22.09.2015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ЗАО "Перспектива"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25.09.2015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15 111 886,90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25.09.2015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Поляков Владимир Николаевич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01.10.2015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"ИК "ТТК"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3 330 000,00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01.10.2015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"ИК "ТТК"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59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06.10.2015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Никифоров Ильдар Афанасьевич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50 000,00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 Альмир Фарильевич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07.10.2015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Никифоров Ильдар Афанасьевич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50 000,00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09.10.2015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Хазиев Альмир Фарильевич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130 000,00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09.10.2015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Зарипов Марсель Рафаэльевич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80 000,00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12.10.2015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38 355,00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27.10.2015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00F030C4"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17 000 000,00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28.10.2015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Молева Наталья Ринатовна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00F030C4"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919 000,00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28.10.2015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Молева Наталья Ринатовна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00F030C4"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550 000,00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68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"Ак Барс Металл"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3 208 000,00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lastRenderedPageBreak/>
              <w:t>69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30.10.2015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"Ак Барс Металл"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1 850 000,00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11.11.2015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38 435,00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"Казанский хлебозавод №3"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4 500,00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"ТЕХНО"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48 539,40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18.11.2015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"Казанский хлебозавод №3"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4 500,00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20.11.2015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"Тринити"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13 042 000,00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25.11.2015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18 998 186,69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Поляков Владимир Николаевич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77</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Зарипов Марсель Рафаэльевич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w:t>
            </w:r>
            <w:r w:rsidRPr="00F030C4">
              <w:rPr>
                <w:rFonts w:ascii="Georgia" w:eastAsia="Times New Roman" w:hAnsi="Georgia" w:cs="Calibri"/>
                <w:color w:val="1F497D"/>
                <w:sz w:val="20"/>
                <w:szCs w:val="20"/>
                <w:lang w:val="en-US"/>
              </w:rPr>
              <w:t xml:space="preserve">   </w:t>
            </w:r>
            <w:r w:rsidRPr="00F030C4">
              <w:rPr>
                <w:rFonts w:ascii="Georgia" w:eastAsia="Times New Roman" w:hAnsi="Georgia" w:cs="Calibri"/>
                <w:color w:val="1F497D"/>
                <w:sz w:val="20"/>
                <w:szCs w:val="20"/>
              </w:rPr>
              <w:t xml:space="preserve">    310 000,00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78</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30.11.2015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7 863 046,53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79</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09.12.2015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34 985,00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80</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14.12.2015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"Казанский хлебозавод №2"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81</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23.12.2015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"Объединенные Напитки"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6 050,00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82</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29.12.2015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"Сувар Девелопмент"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5 000 000,00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83</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80 625 000,00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84</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30.12.2015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ОАО "Ипотечное агентство РТ"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80 625 000,00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85</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31.12.2015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"Ак Барс Металл"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11 000 000,00   </w:t>
            </w:r>
          </w:p>
        </w:tc>
      </w:tr>
      <w:tr w:rsidR="00A47D75" w:rsidRPr="00A47D75" w:rsidTr="00F030C4">
        <w:trPr>
          <w:trHeight w:val="315"/>
        </w:trPr>
        <w:tc>
          <w:tcPr>
            <w:tcW w:w="970"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86</w:t>
            </w:r>
          </w:p>
        </w:tc>
        <w:tc>
          <w:tcPr>
            <w:tcW w:w="1527"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jc w:val="center"/>
              <w:rPr>
                <w:rFonts w:ascii="Georgia" w:eastAsia="Times New Roman" w:hAnsi="Georgia" w:cs="Calibri"/>
                <w:color w:val="1F497D"/>
                <w:sz w:val="20"/>
                <w:szCs w:val="20"/>
              </w:rPr>
            </w:pPr>
            <w:r w:rsidRPr="00F030C4">
              <w:rPr>
                <w:rFonts w:ascii="Georgia" w:eastAsia="Times New Roman" w:hAnsi="Georgia" w:cs="Calibri"/>
                <w:color w:val="1F497D"/>
                <w:sz w:val="20"/>
                <w:szCs w:val="20"/>
              </w:rPr>
              <w:t>31.12.2015</w:t>
            </w:r>
          </w:p>
        </w:tc>
        <w:tc>
          <w:tcPr>
            <w:tcW w:w="3882" w:type="dxa"/>
            <w:tcBorders>
              <w:top w:val="nil"/>
              <w:left w:val="nil"/>
              <w:bottom w:val="single" w:sz="8" w:space="0" w:color="95B3D7"/>
              <w:right w:val="nil"/>
            </w:tcBorders>
            <w:shd w:val="clear" w:color="auto" w:fill="auto"/>
            <w:noWrap/>
            <w:vAlign w:val="bottom"/>
            <w:hideMark/>
          </w:tcPr>
          <w:p w:rsidR="00A47D75" w:rsidRPr="00F030C4" w:rsidRDefault="00A47D75" w:rsidP="00A47D75">
            <w:pPr>
              <w:spacing w:after="0" w:line="240" w:lineRule="auto"/>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ООО "Ак Барс Металл"  </w:t>
            </w:r>
          </w:p>
        </w:tc>
        <w:tc>
          <w:tcPr>
            <w:tcW w:w="2268" w:type="dxa"/>
            <w:tcBorders>
              <w:top w:val="nil"/>
              <w:left w:val="nil"/>
              <w:bottom w:val="single" w:sz="8" w:space="0" w:color="95B3D7"/>
              <w:right w:val="nil"/>
            </w:tcBorders>
            <w:shd w:val="clear" w:color="auto" w:fill="auto"/>
            <w:noWrap/>
            <w:vAlign w:val="center"/>
            <w:hideMark/>
          </w:tcPr>
          <w:p w:rsidR="00A47D75" w:rsidRPr="00F030C4" w:rsidRDefault="00A47D75" w:rsidP="00F030C4">
            <w:pPr>
              <w:spacing w:after="0" w:line="240" w:lineRule="auto"/>
              <w:jc w:val="right"/>
              <w:rPr>
                <w:rFonts w:ascii="Georgia" w:eastAsia="Times New Roman" w:hAnsi="Georgia" w:cs="Calibri"/>
                <w:color w:val="1F497D"/>
                <w:sz w:val="20"/>
                <w:szCs w:val="20"/>
              </w:rPr>
            </w:pPr>
            <w:r w:rsidRPr="00F030C4">
              <w:rPr>
                <w:rFonts w:ascii="Georgia" w:eastAsia="Times New Roman" w:hAnsi="Georgia" w:cs="Calibri"/>
                <w:color w:val="1F497D"/>
                <w:sz w:val="20"/>
                <w:szCs w:val="20"/>
              </w:rPr>
              <w:t xml:space="preserve">               11 000 000,00   </w:t>
            </w:r>
          </w:p>
        </w:tc>
      </w:tr>
    </w:tbl>
    <w:p w:rsidR="00F030C4" w:rsidRDefault="00F030C4" w:rsidP="00454595">
      <w:pPr>
        <w:rPr>
          <w:rFonts w:ascii="Georgia" w:hAnsi="Georgia"/>
          <w:b/>
          <w:bCs/>
          <w:sz w:val="24"/>
          <w:szCs w:val="24"/>
          <w:highlight w:val="yellow"/>
          <w:lang w:val="en-US"/>
        </w:rPr>
      </w:pPr>
    </w:p>
    <w:p w:rsidR="00454595" w:rsidRPr="007D5972" w:rsidRDefault="00454595" w:rsidP="00454595">
      <w:pPr>
        <w:rPr>
          <w:rFonts w:ascii="Georgia" w:hAnsi="Georgia" w:cs="Arial CYR"/>
          <w:bCs/>
          <w:highlight w:val="yellow"/>
        </w:rPr>
      </w:pPr>
      <w:r w:rsidRPr="00F030C4">
        <w:rPr>
          <w:rFonts w:ascii="Georgia" w:hAnsi="Georgia"/>
          <w:b/>
          <w:bCs/>
          <w:sz w:val="24"/>
          <w:szCs w:val="24"/>
        </w:rPr>
        <w:t>ИТОГО:</w:t>
      </w:r>
      <w:r w:rsidRPr="00F030C4">
        <w:rPr>
          <w:rFonts w:ascii="Georgia" w:hAnsi="Georgia"/>
          <w:bCs/>
          <w:sz w:val="24"/>
          <w:szCs w:val="24"/>
        </w:rPr>
        <w:t xml:space="preserve"> </w:t>
      </w:r>
      <w:r w:rsidR="00F030C4" w:rsidRPr="00F030C4">
        <w:rPr>
          <w:rFonts w:ascii="Georgia" w:hAnsi="Georgia"/>
          <w:bCs/>
          <w:sz w:val="24"/>
          <w:szCs w:val="24"/>
        </w:rPr>
        <w:t xml:space="preserve"> 740 559 813,03 рублей.</w:t>
      </w:r>
    </w:p>
    <w:p w:rsidR="00171BBD" w:rsidRPr="007D5972" w:rsidRDefault="00171BBD" w:rsidP="001D2915">
      <w:pPr>
        <w:pStyle w:val="1"/>
        <w:spacing w:before="0" w:line="240" w:lineRule="auto"/>
        <w:rPr>
          <w:noProof/>
          <w:highlight w:val="yellow"/>
        </w:rPr>
      </w:pPr>
      <w:r w:rsidRPr="007D5972">
        <w:rPr>
          <w:noProof/>
          <w:highlight w:val="yellow"/>
        </w:rPr>
        <w:br w:type="page"/>
      </w:r>
    </w:p>
    <w:p w:rsidR="007B0E29" w:rsidRPr="007D5972" w:rsidRDefault="007B0E29" w:rsidP="007B0E29">
      <w:pPr>
        <w:spacing w:after="0" w:line="240" w:lineRule="auto"/>
        <w:rPr>
          <w:rFonts w:asciiTheme="majorHAnsi" w:eastAsiaTheme="majorEastAsia" w:hAnsiTheme="majorHAnsi" w:cstheme="majorBidi"/>
          <w:b/>
          <w:bCs/>
          <w:noProof/>
          <w:color w:val="00B050"/>
          <w:sz w:val="20"/>
          <w:szCs w:val="20"/>
          <w:highlight w:val="yellow"/>
        </w:rPr>
      </w:pPr>
    </w:p>
    <w:p w:rsidR="00171BBD" w:rsidRPr="00F030C4" w:rsidRDefault="007B0E29" w:rsidP="007B0E29">
      <w:pPr>
        <w:pStyle w:val="1"/>
        <w:spacing w:before="0" w:line="240" w:lineRule="auto"/>
        <w:rPr>
          <w:noProof/>
          <w:color w:val="00B050"/>
          <w:sz w:val="40"/>
        </w:rPr>
      </w:pPr>
      <w:bookmarkStart w:id="58" w:name="_Toc448145485"/>
      <w:r w:rsidRPr="00F030C4">
        <w:rPr>
          <w:noProof/>
          <w:color w:val="00B050"/>
          <w:sz w:val="40"/>
        </w:rPr>
        <w:t xml:space="preserve">Сведения о соблюдении </w:t>
      </w:r>
      <w:r w:rsidR="00374BD0">
        <w:rPr>
          <w:noProof/>
          <w:color w:val="00B050"/>
          <w:sz w:val="40"/>
        </w:rPr>
        <w:t>П</w:t>
      </w:r>
      <w:r w:rsidRPr="00F030C4">
        <w:rPr>
          <w:noProof/>
          <w:color w:val="00B050"/>
          <w:sz w:val="40"/>
        </w:rPr>
        <w:t>АО «ИнтехБанк»</w:t>
      </w:r>
      <w:r w:rsidR="009F03BA" w:rsidRPr="00F030C4">
        <w:rPr>
          <w:noProof/>
          <w:color w:val="00B050"/>
          <w:sz w:val="40"/>
        </w:rPr>
        <w:t xml:space="preserve"> </w:t>
      </w:r>
      <w:r w:rsidRPr="00F030C4">
        <w:rPr>
          <w:noProof/>
          <w:color w:val="00B050"/>
          <w:sz w:val="40"/>
        </w:rPr>
        <w:t>Кодекса корпоративного поведения</w:t>
      </w:r>
      <w:r w:rsidR="009F03BA" w:rsidRPr="00F030C4">
        <w:rPr>
          <w:noProof/>
          <w:color w:val="00B050"/>
          <w:sz w:val="40"/>
        </w:rPr>
        <w:t xml:space="preserve"> </w:t>
      </w:r>
      <w:r w:rsidRPr="00F030C4">
        <w:rPr>
          <w:noProof/>
          <w:color w:val="00B050"/>
          <w:sz w:val="40"/>
        </w:rPr>
        <w:t>в 201</w:t>
      </w:r>
      <w:r w:rsidR="00F030C4" w:rsidRPr="00F030C4">
        <w:rPr>
          <w:noProof/>
          <w:color w:val="00B050"/>
          <w:sz w:val="40"/>
        </w:rPr>
        <w:t>5</w:t>
      </w:r>
      <w:r w:rsidRPr="00F030C4">
        <w:rPr>
          <w:noProof/>
          <w:color w:val="00B050"/>
          <w:sz w:val="40"/>
        </w:rPr>
        <w:t xml:space="preserve"> году</w:t>
      </w:r>
      <w:bookmarkEnd w:id="58"/>
    </w:p>
    <w:p w:rsidR="00F030C4" w:rsidRPr="0002422B" w:rsidRDefault="00F030C4" w:rsidP="00F030C4"/>
    <w:tbl>
      <w:tblPr>
        <w:tblW w:w="8155" w:type="dxa"/>
        <w:jc w:val="center"/>
        <w:tblInd w:w="87" w:type="dxa"/>
        <w:tblCellMar>
          <w:left w:w="0" w:type="dxa"/>
          <w:right w:w="0" w:type="dxa"/>
        </w:tblCellMar>
        <w:tblLook w:val="04A0" w:firstRow="1" w:lastRow="0" w:firstColumn="1" w:lastColumn="0" w:noHBand="0" w:noVBand="1"/>
      </w:tblPr>
      <w:tblGrid>
        <w:gridCol w:w="491"/>
        <w:gridCol w:w="3849"/>
        <w:gridCol w:w="1414"/>
        <w:gridCol w:w="2401"/>
      </w:tblGrid>
      <w:tr w:rsidR="00F030C4" w:rsidRPr="0002422B" w:rsidTr="00F030C4">
        <w:trPr>
          <w:cantSplit/>
          <w:trHeight w:val="499"/>
          <w:jc w:val="center"/>
        </w:trPr>
        <w:tc>
          <w:tcPr>
            <w:tcW w:w="494" w:type="dxa"/>
            <w:tcBorders>
              <w:top w:val="nil"/>
              <w:left w:val="nil"/>
              <w:bottom w:val="single" w:sz="8" w:space="0" w:color="95B3D7"/>
              <w:right w:val="nil"/>
            </w:tcBorders>
            <w:shd w:val="clear" w:color="000000" w:fill="DBE5F1"/>
            <w:vAlign w:val="center"/>
            <w:hideMark/>
          </w:tcPr>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1F497D"/>
                <w:sz w:val="20"/>
                <w:szCs w:val="20"/>
              </w:rPr>
              <w:t>№</w:t>
            </w:r>
          </w:p>
        </w:tc>
        <w:tc>
          <w:tcPr>
            <w:tcW w:w="3868" w:type="dxa"/>
            <w:tcBorders>
              <w:top w:val="nil"/>
              <w:left w:val="nil"/>
              <w:bottom w:val="single" w:sz="8" w:space="0" w:color="95B3D7"/>
              <w:right w:val="nil"/>
            </w:tcBorders>
            <w:shd w:val="clear" w:color="000000" w:fill="DBE5F1"/>
            <w:vAlign w:val="center"/>
            <w:hideMark/>
          </w:tcPr>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1F497D"/>
                <w:sz w:val="20"/>
                <w:szCs w:val="20"/>
              </w:rPr>
              <w:t xml:space="preserve">Положение Кодекса </w:t>
            </w:r>
          </w:p>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1F497D"/>
                <w:sz w:val="20"/>
                <w:szCs w:val="20"/>
              </w:rPr>
              <w:t>корпоративного поведения</w:t>
            </w:r>
          </w:p>
        </w:tc>
        <w:tc>
          <w:tcPr>
            <w:tcW w:w="1383" w:type="dxa"/>
            <w:tcBorders>
              <w:top w:val="nil"/>
              <w:left w:val="nil"/>
              <w:bottom w:val="single" w:sz="8" w:space="0" w:color="95B3D7"/>
              <w:right w:val="nil"/>
            </w:tcBorders>
            <w:shd w:val="clear" w:color="000000" w:fill="DBE5F1"/>
            <w:vAlign w:val="center"/>
            <w:hideMark/>
          </w:tcPr>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1F497D"/>
                <w:sz w:val="20"/>
                <w:szCs w:val="20"/>
              </w:rPr>
              <w:t>Соблюдается или не соблюдается</w:t>
            </w:r>
          </w:p>
        </w:tc>
        <w:tc>
          <w:tcPr>
            <w:tcW w:w="2410" w:type="dxa"/>
            <w:tcBorders>
              <w:top w:val="nil"/>
              <w:left w:val="nil"/>
              <w:bottom w:val="single" w:sz="8" w:space="0" w:color="95B3D7"/>
              <w:right w:val="nil"/>
            </w:tcBorders>
            <w:shd w:val="clear" w:color="000000" w:fill="DBE5F1"/>
            <w:vAlign w:val="center"/>
            <w:hideMark/>
          </w:tcPr>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1F497D"/>
                <w:sz w:val="20"/>
                <w:szCs w:val="20"/>
              </w:rPr>
              <w:t>Примечание</w:t>
            </w:r>
          </w:p>
        </w:tc>
      </w:tr>
      <w:tr w:rsidR="00F030C4" w:rsidRPr="0002422B" w:rsidTr="00F030C4">
        <w:trPr>
          <w:cantSplit/>
          <w:trHeight w:val="299"/>
          <w:jc w:val="center"/>
        </w:trPr>
        <w:tc>
          <w:tcPr>
            <w:tcW w:w="8155"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Georgia" w:eastAsia="Times New Roman" w:hAnsi="Georgia" w:cs="Tahoma"/>
                <w:b/>
                <w:bCs/>
                <w:color w:val="1F497D"/>
                <w:sz w:val="20"/>
                <w:szCs w:val="20"/>
              </w:rPr>
            </w:pPr>
            <w:r w:rsidRPr="0002422B">
              <w:rPr>
                <w:rFonts w:ascii="Georgia" w:eastAsia="Times New Roman" w:hAnsi="Georgia" w:cs="Tahoma"/>
                <w:b/>
                <w:bCs/>
                <w:color w:val="FFFFFF"/>
                <w:sz w:val="20"/>
                <w:szCs w:val="20"/>
              </w:rPr>
              <w:t>Общее собрание акционеров</w:t>
            </w:r>
          </w:p>
        </w:tc>
      </w:tr>
      <w:tr w:rsidR="00F030C4" w:rsidRPr="0002422B" w:rsidTr="00F030C4">
        <w:trPr>
          <w:cantSplit/>
          <w:trHeight w:val="1289"/>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Извещение акционеров о проведении общего собрания акционеров не менее чем за 30 дней до даты его проведения независимо от вопросов, включенных в его повестку дня, если законодательством не предусмотрен больший срок</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14 п. 14.9 Устава ПАО «ИнтехБанк», Глава 2 п. 2.2.2 Положения об Общем собрании акционеров ПАО «ИнтехБанк»</w:t>
            </w:r>
          </w:p>
        </w:tc>
      </w:tr>
      <w:tr w:rsidR="00F030C4" w:rsidRPr="0002422B" w:rsidTr="00F030C4">
        <w:trPr>
          <w:cantSplit/>
          <w:trHeight w:val="1860"/>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Наличие у акционеров возможности знакомиться со списком лиц, имеющих право на участие в общем собрании акционеров, начиная со дня сообщения о проведении общего собрания акционеров и до закрытия очного общего собрания акционеров, а в случае заочного общего собрания акционеров – до даты окончания приема бюллетеней для голосования</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2 п. 2.3.4. Положения об Общем собрании акционеров ПАО «ИнтехБанк»</w:t>
            </w:r>
          </w:p>
        </w:tc>
      </w:tr>
      <w:tr w:rsidR="00F030C4" w:rsidRPr="0002422B" w:rsidTr="00F030C4">
        <w:trPr>
          <w:cantSplit/>
          <w:trHeight w:val="1321"/>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Наличие у акционеров возможности знакомиться с информацией (материалами), подлежащей предоставлению при подготовке к проведению общего собрания акционеров, посредством электронных средств связи, в том числе посредством сети Интернет</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2 п. 2.2.4. Положения об Общем собрании акционеров ПАО «ИнтехБанк» </w:t>
            </w:r>
          </w:p>
        </w:tc>
      </w:tr>
      <w:tr w:rsidR="00F030C4" w:rsidRPr="0002422B" w:rsidTr="00F030C4">
        <w:trPr>
          <w:cantSplit/>
          <w:trHeight w:val="2687"/>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 акционера возможности внести вопрос в повестку дня общего собрания акционеров или потребовать созыва общего собрания акционеров без предоставления выписки из реестра акционеров, если учет его прав на акции осуществляется в системе ведения реестра акционеров, а в случае, если его права на акции учитываются на счете депо, - достаточность выписки со счета депо для осуществления вышеуказанных прав </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14 п. 14.10 Устава ПАО «ИнтехБанк» акционеры (акционер), являющиеся в совокупности владельцами не менее чем 2 процентов голосующих акций Банка, вправе внести вопросы в повестку дня годового общего собрания акционеров; Глава 2 п. 2.4 Положения об Общем собрании акционеров ПАО «ИнтехБанк»</w:t>
            </w:r>
          </w:p>
        </w:tc>
      </w:tr>
      <w:tr w:rsidR="00F030C4" w:rsidRPr="0002422B" w:rsidTr="00F030C4">
        <w:trPr>
          <w:cantSplit/>
          <w:trHeight w:val="1447"/>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требования об обязательном присутствии на общем собрании акционеров генерального директора, членов правления, членов совета директоров, членов ревизионной комиссии и аудитора акционерного общества </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5 п. 5.1 Положения о Совете директоров ПАО «ИнтехБанк». Практика: указанные лица на Общем собрании акционеров присутствуют </w:t>
            </w:r>
          </w:p>
        </w:tc>
      </w:tr>
      <w:tr w:rsidR="00F030C4" w:rsidRPr="0002422B" w:rsidTr="00F030C4">
        <w:trPr>
          <w:cantSplit/>
          <w:trHeight w:val="1467"/>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Обязательное присутствие кандидатов при рассмотрении на общем собрании акционеров вопросов об избрании членов совета директоров, генерального директора, членов правления, членов ревизионной комиссии, а также вопроса об утверждении аудитора акционерного общества </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5 п. 5.1 Положения о Совете директоров ПАО «ИнтехБанк». Практика: указанные кандидаты на общем собрании акционеров присутствуют </w:t>
            </w:r>
          </w:p>
        </w:tc>
      </w:tr>
      <w:tr w:rsidR="00F030C4" w:rsidRPr="0002422B" w:rsidTr="00F030C4">
        <w:trPr>
          <w:cantSplit/>
          <w:trHeight w:val="922"/>
          <w:jc w:val="center"/>
        </w:trPr>
        <w:tc>
          <w:tcPr>
            <w:tcW w:w="49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 </w:t>
            </w:r>
          </w:p>
        </w:tc>
        <w:tc>
          <w:tcPr>
            <w:tcW w:w="3868"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процедуры регистрации участников общего собрания акционеров </w:t>
            </w:r>
          </w:p>
        </w:tc>
        <w:tc>
          <w:tcPr>
            <w:tcW w:w="138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10"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3 п. 3.1.2. Положения об Общем собрании акционеров ПАО «ИнтехБанк» </w:t>
            </w:r>
          </w:p>
        </w:tc>
      </w:tr>
    </w:tbl>
    <w:p w:rsidR="00F030C4" w:rsidRPr="003A49E4" w:rsidRDefault="00F030C4" w:rsidP="00F030C4">
      <w:pPr>
        <w:spacing w:after="120" w:line="240" w:lineRule="auto"/>
        <w:rPr>
          <w:rFonts w:ascii="Times New Roman" w:hAnsi="Times New Roman" w:cs="Times New Roman"/>
          <w:sz w:val="20"/>
          <w:szCs w:val="20"/>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Times New Roman" w:eastAsia="Times New Roman" w:hAnsi="Times New Roman" w:cs="Times New Roman"/>
                <w:b/>
                <w:bCs/>
                <w:sz w:val="20"/>
                <w:szCs w:val="20"/>
              </w:rPr>
            </w:pPr>
            <w:r w:rsidRPr="0002422B">
              <w:rPr>
                <w:rFonts w:ascii="Georgia" w:eastAsia="Times New Roman" w:hAnsi="Georgia" w:cs="Tahoma"/>
                <w:b/>
                <w:bCs/>
                <w:color w:val="FFFFFF"/>
                <w:sz w:val="20"/>
                <w:szCs w:val="20"/>
              </w:rPr>
              <w:t>Совет директоров</w:t>
            </w:r>
          </w:p>
        </w:tc>
      </w:tr>
      <w:tr w:rsidR="00F030C4" w:rsidRPr="0002422B" w:rsidTr="00F030C4">
        <w:trPr>
          <w:cantSplit/>
          <w:trHeight w:val="97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полномочия совета директоров по ежегодному утверждению финансово-хозяйственного плана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15 п. 15.2.29 Устава ПАО «ИнтехБанк» </w:t>
            </w:r>
          </w:p>
        </w:tc>
      </w:tr>
      <w:tr w:rsidR="00F030C4" w:rsidRPr="0002422B" w:rsidTr="00F030C4">
        <w:trPr>
          <w:cantSplit/>
          <w:trHeight w:val="68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утвержденной Советом директоров процедуры управления рисками в акционерном обществе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Положение о системе оценки и управления рисками ПАО «ИнтехБанк» </w:t>
            </w:r>
          </w:p>
        </w:tc>
      </w:tr>
      <w:tr w:rsidR="00F030C4" w:rsidRPr="0002422B" w:rsidTr="00F030C4">
        <w:trPr>
          <w:cantSplit/>
          <w:trHeight w:val="113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права Совета директоров принять решение о приостановлении полномочий генерального директора, назначаемого общим собранием акционеров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15 п. 15.2.33 Устава ПАО «ИнтехБанк» </w:t>
            </w:r>
          </w:p>
        </w:tc>
      </w:tr>
      <w:tr w:rsidR="00F030C4" w:rsidRPr="0002422B" w:rsidTr="00F030C4">
        <w:trPr>
          <w:cantSplit/>
          <w:trHeight w:val="153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права совета директоров устанавливать требования к квалификации и размеру вознаграждения генерального директора, членов правления, руководителей основных структурных подразделений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15,  Глава 16 п. 16.1 Устава ПАО «ИнтехБанк» </w:t>
            </w:r>
          </w:p>
        </w:tc>
      </w:tr>
      <w:tr w:rsidR="00F030C4" w:rsidRPr="0002422B" w:rsidTr="00F030C4">
        <w:trPr>
          <w:cantSplit/>
          <w:trHeight w:val="96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права совета директоров утверждать условия договоров с генеральным директором и членами правления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8 п. 8.17 Положения о Совете директоров ПАО «ИнтехБанк» </w:t>
            </w:r>
          </w:p>
        </w:tc>
      </w:tr>
      <w:tr w:rsidR="00F030C4" w:rsidRPr="0002422B" w:rsidTr="00F030C4">
        <w:trPr>
          <w:cantSplit/>
          <w:trHeight w:val="196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требования о том, что при утверждении условий договоров с генеральным директором (управляющей организацией, управляющим) и членами правления голоса членов совета директоров, являющихся генеральным директором и членами правления, при подсчете голосов не учитываются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8 п. 8.17 Положения о Совете директоров ПАО «ИнтехБанк» </w:t>
            </w:r>
          </w:p>
        </w:tc>
      </w:tr>
      <w:tr w:rsidR="00F030C4" w:rsidRPr="0002422B" w:rsidTr="00F030C4">
        <w:trPr>
          <w:cantSplit/>
          <w:trHeight w:val="1117"/>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составе совета директоров акционерного общества не менее 3 независимых директоров, отвечающих требованиям Кодекса корпоративного поведения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15 п. 15.5 Устава ПАО «ИнтехБанк», Глава 4 п. 4.2.2 Кодекса корпоративного управления ПАО «ИнтехБанк» </w:t>
            </w:r>
          </w:p>
        </w:tc>
      </w:tr>
      <w:tr w:rsidR="00F030C4" w:rsidRPr="0002422B" w:rsidTr="00F030C4">
        <w:trPr>
          <w:cantSplit/>
          <w:trHeight w:val="282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совета директоров акционерного общества лиц, которые признавались виновными в совершении преступлений в сфере экономической деятельности или преступлений против государственной власти, интересов государственной службы и службы в органах местного самоуправления или к которым применялись административные наказания за правонарушения в области предпринимательской деятельности или в области финансов, налогов и сборов, рынка ценных бумаг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3 п. 3.1 Положения о Совете директоров ПАО «ИнтехБанк» </w:t>
            </w:r>
          </w:p>
        </w:tc>
      </w:tr>
      <w:tr w:rsidR="00F030C4" w:rsidRPr="0002422B" w:rsidTr="00F030C4">
        <w:trPr>
          <w:cantSplit/>
          <w:trHeight w:val="140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совета директоров акционерного общества лиц, являющихся участником, генеральным директором (управляющим), членом органа управления или работником юридического лица, конкурирующего с акционерным обществом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В состав Совета директоров не входят лица, конкурирующие с Банком </w:t>
            </w:r>
          </w:p>
        </w:tc>
      </w:tr>
      <w:tr w:rsidR="00F030C4" w:rsidRPr="0002422B" w:rsidTr="00F030C4">
        <w:trPr>
          <w:cantSplit/>
          <w:trHeight w:val="81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требования об избрании совета директоров кумулятивным голосованием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14 п. 14.3.4 Устава ПАО «ИнтехБанк» </w:t>
            </w:r>
          </w:p>
        </w:tc>
      </w:tr>
    </w:tbl>
    <w:p w:rsidR="00F030C4" w:rsidRPr="0002422B" w:rsidRDefault="00F030C4" w:rsidP="00F030C4">
      <w:pPr>
        <w:spacing w:after="0" w:line="240" w:lineRule="auto"/>
        <w:rPr>
          <w:rFonts w:ascii="Georgia" w:eastAsia="Times New Roman" w:hAnsi="Georgia" w:cs="Tahoma"/>
          <w:color w:val="1F497D"/>
          <w:sz w:val="18"/>
          <w:szCs w:val="18"/>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214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p>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обязанности членов совета директоров воздерживаться от действий, которые приведут или потенциально способны привести к возникновению конфликта между их интересами и интересами акционерного общества, а в случае возникновения такого конфликта – обязанности раскрывать совету директоров информацию об этом конфликте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3 п. 3.2 Положения о Совете директоров ПАО «ИнтехБанк» </w:t>
            </w:r>
          </w:p>
        </w:tc>
      </w:tr>
      <w:tr w:rsidR="00F030C4" w:rsidRPr="0002422B" w:rsidTr="00F030C4">
        <w:trPr>
          <w:cantSplit/>
          <w:trHeight w:val="2143"/>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19.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обязанности членов совета директоров письменно уведомлять совет директоров о намерении совершить сделки с ценными бумагами акционерного общества, членами совета директоров которого они являются, или его дочерних (зависимых) обществ, а также раскрывать информацию о совершенных ими сделках с такими ценными бумагами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3 п. 3.2.12 Положения о Совете директоров ПАО «ИнтехБанк» </w:t>
            </w:r>
          </w:p>
        </w:tc>
      </w:tr>
      <w:tr w:rsidR="00F030C4" w:rsidRPr="0002422B" w:rsidTr="00F030C4">
        <w:trPr>
          <w:cantSplit/>
          <w:trHeight w:val="211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требования о проведении заседаний совета директоров не реже одного раза в шесть недель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Согласно главе 8 п. 8.1 Положения о Совете директоров ПАО «ИнтехБанк» заседания Совета директоров проводятся в соответствии с утвержденным планом проведения заседаний, а также по мере необходимости </w:t>
            </w:r>
          </w:p>
        </w:tc>
      </w:tr>
      <w:tr w:rsidR="00F030C4" w:rsidRPr="0002422B" w:rsidTr="00F030C4">
        <w:trPr>
          <w:cantSplit/>
          <w:trHeight w:val="109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Проведение заседаний совета директоров акционерного общества в течение года, за который составляется годовой отчет акционерного общества, с периодичностью не реже одного раза в шесть недель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Практика: за 2015 год проведено 14 заседаний Совета директоров, из них 13 очных. </w:t>
            </w:r>
          </w:p>
        </w:tc>
      </w:tr>
      <w:tr w:rsidR="00F030C4" w:rsidRPr="0002422B" w:rsidTr="00F030C4">
        <w:trPr>
          <w:cantSplit/>
          <w:trHeight w:val="83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порядка проведения заседаний совета директоров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8, 9 Положения о Совете директоров Банка ПАО «ИнтехБанк» </w:t>
            </w:r>
          </w:p>
        </w:tc>
      </w:tr>
      <w:tr w:rsidR="00F030C4" w:rsidRPr="0002422B" w:rsidTr="00F030C4">
        <w:trPr>
          <w:cantSplit/>
          <w:trHeight w:val="1689"/>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положения о необходимости одобрения советом директоров сделок акционерного общества на сумму 10 и более процентов стоимости активов общества, за исключением сделок, совершаемых в процессе обычной хозяйственной деятельности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15 Устава ПАО «ИнтехБанк» </w:t>
            </w:r>
          </w:p>
        </w:tc>
      </w:tr>
      <w:tr w:rsidR="00F030C4" w:rsidRPr="0002422B" w:rsidTr="00F030C4">
        <w:trPr>
          <w:cantSplit/>
          <w:trHeight w:val="196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права членов совета директоров на получение от исполнительных органов и руководителей основных структурных подразделений акционерного общества информации, необходимой для осуществления своих функций, а также ответственности за непредоставление такой информации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5 п. 5.1 Положения о Совете директоров Банка ПАО «ИнтехБанк» </w:t>
            </w:r>
          </w:p>
        </w:tc>
      </w:tr>
      <w:tr w:rsidR="00F030C4" w:rsidRPr="0002422B" w:rsidTr="00F030C4">
        <w:trPr>
          <w:cantSplit/>
          <w:trHeight w:val="1393"/>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комитета совета директоров по стратегическому планированию или возложение функций указанного комитета на другой комитет (кроме комитета по аудиту и комитета по кадрам и вознаграждениям)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Комитет по стратегическому планированию создан в 2011 году и действует на основании Положения о Комитете по стратегическому планированию Совета директоров ОАО «ИнтехБанк».</w:t>
            </w:r>
          </w:p>
        </w:tc>
      </w:tr>
    </w:tbl>
    <w:p w:rsidR="00F030C4" w:rsidRPr="0002422B" w:rsidRDefault="00F030C4" w:rsidP="00F030C4">
      <w:pPr>
        <w:spacing w:after="0" w:line="240" w:lineRule="auto"/>
        <w:rPr>
          <w:rFonts w:ascii="Georgia" w:eastAsia="Times New Roman" w:hAnsi="Georgia" w:cs="Tahoma"/>
          <w:color w:val="1F497D"/>
          <w:sz w:val="18"/>
          <w:szCs w:val="18"/>
        </w:rPr>
      </w:pPr>
    </w:p>
    <w:p w:rsidR="00F030C4" w:rsidRPr="0002422B" w:rsidRDefault="00F030C4" w:rsidP="00F030C4">
      <w:pPr>
        <w:spacing w:after="0" w:line="240" w:lineRule="auto"/>
        <w:rPr>
          <w:rFonts w:ascii="Georgia" w:eastAsia="Times New Roman" w:hAnsi="Georgia" w:cs="Tahoma"/>
          <w:color w:val="1F497D"/>
          <w:sz w:val="18"/>
          <w:szCs w:val="18"/>
        </w:rPr>
      </w:pPr>
    </w:p>
    <w:tbl>
      <w:tblPr>
        <w:tblW w:w="8548" w:type="dxa"/>
        <w:jc w:val="center"/>
        <w:tblInd w:w="87" w:type="dxa"/>
        <w:tblCellMar>
          <w:left w:w="0" w:type="dxa"/>
          <w:right w:w="0" w:type="dxa"/>
        </w:tblCellMar>
        <w:tblLook w:val="04A0" w:firstRow="1" w:lastRow="0" w:firstColumn="1" w:lastColumn="0" w:noHBand="0" w:noVBand="1"/>
      </w:tblPr>
      <w:tblGrid>
        <w:gridCol w:w="505"/>
        <w:gridCol w:w="3954"/>
        <w:gridCol w:w="1626"/>
        <w:gridCol w:w="2463"/>
      </w:tblGrid>
      <w:tr w:rsidR="00F030C4" w:rsidRPr="0002422B" w:rsidTr="00591470">
        <w:trPr>
          <w:cantSplit/>
          <w:trHeight w:val="129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lastRenderedPageBreak/>
              <w:t xml:space="preserve"> 26.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комитета совета директоров (комитета по аудиту), который рекомендует совету директоров аудитора акционерного общества и взаимодействует с ним и ревизионной комиссией акционерного общества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Комитет по аудиту и рискам создан в Банке в 2008 году и действует на основании Положения о Комитете по аудиту и рискам Совета директоров ОАО «ИнтехБанк»</w:t>
            </w:r>
          </w:p>
        </w:tc>
      </w:tr>
      <w:tr w:rsidR="00F030C4" w:rsidRPr="0002422B" w:rsidTr="00591470">
        <w:trPr>
          <w:cantSplit/>
          <w:trHeight w:val="176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составе комитета по аудиту только независимых и неисполнительных директоров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4 п. 4.3. Положения о Комитете по аудиту и рискам Совета директоров ОАО «ИнтехБанк».</w:t>
            </w:r>
          </w:p>
        </w:tc>
      </w:tr>
      <w:tr w:rsidR="00F030C4" w:rsidRPr="0002422B" w:rsidTr="00591470">
        <w:trPr>
          <w:cantSplit/>
          <w:trHeight w:val="153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Осуществление руководства комитетом по аудиту независимым директором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4 п. 4.3. Положения о Комитете по аудиту и рискам Совета директоров ОАО «ИнтехБанк».</w:t>
            </w:r>
          </w:p>
        </w:tc>
      </w:tr>
      <w:tr w:rsidR="00F030C4" w:rsidRPr="0002422B" w:rsidTr="00591470">
        <w:trPr>
          <w:cantSplit/>
          <w:trHeight w:val="1387"/>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29.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права доступа всех членов комитета по аудиту к любым документам и информации акционерного общества при условии неразглашения ими конфиденциальной информации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8 п. 8.8 Положения о Комитете по аудиту и рискам Совета директоров ОАО «ИнтехБанк» </w:t>
            </w:r>
          </w:p>
        </w:tc>
      </w:tr>
      <w:tr w:rsidR="00F030C4" w:rsidRPr="0002422B" w:rsidTr="00591470">
        <w:trPr>
          <w:cantSplit/>
          <w:trHeight w:val="154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Создание комитета совета директоров (комитета по кадрам и вознаграждениям), функцией которого является определение критериев подбора кандидатов в члены совета директоров и выработка политики акционерного общества в области вознаграждения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Комитет по кадрам и вознаграждениям создан в Банке в 2008 году и действует на основании Положения о Комитете по кадрам и вознаграждениям Совета директоров ОАО «ИнтехБанк» </w:t>
            </w:r>
          </w:p>
        </w:tc>
      </w:tr>
      <w:tr w:rsidR="00F030C4" w:rsidRPr="0002422B" w:rsidTr="00591470">
        <w:trPr>
          <w:cantSplit/>
          <w:trHeight w:val="196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Осуществление руководства комитетом по кадрам и вознаграждениям независимым директором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4 п. 4.3. Положение о Комитете по кадрам и вознаграждениям Совета директоров ОАО «ИнтехБанк». Председателем Комитета по кадрам и вознаграждениям является независимый директор. </w:t>
            </w:r>
          </w:p>
        </w:tc>
      </w:tr>
      <w:tr w:rsidR="00F030C4" w:rsidRPr="0002422B" w:rsidTr="00591470">
        <w:trPr>
          <w:cantSplit/>
          <w:trHeight w:val="196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комитета по кадрам и вознаграждениям должностных лиц акционерного общества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4. Положение о Комитете по кадрам и вознаграждениям Совета директоров ОАО «ИнтехБанк». В составе Комитета по кадрам и вознаграждениям отсутствуют должностные лица Банка. </w:t>
            </w:r>
          </w:p>
        </w:tc>
      </w:tr>
      <w:tr w:rsidR="00F030C4" w:rsidRPr="0002422B" w:rsidTr="00591470">
        <w:trPr>
          <w:cantSplit/>
          <w:trHeight w:val="154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33.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Создание комитета совета директоров по рискам или возложение функций указанного комитета на другой комитет (кроме комитета по аудиту и комитета по кадрам и вознаграждениям) </w:t>
            </w:r>
          </w:p>
        </w:tc>
        <w:tc>
          <w:tcPr>
            <w:tcW w:w="1626"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Практика: В 2008 году создан Комитет по аудиту и рискам Совета директоров ОАО «ИнтехБанк», на который возложены функции Комитета по рискам совета директоров </w:t>
            </w:r>
          </w:p>
        </w:tc>
      </w:tr>
    </w:tbl>
    <w:p w:rsidR="00F030C4" w:rsidRPr="0002422B" w:rsidRDefault="00F030C4" w:rsidP="00F030C4">
      <w:pPr>
        <w:spacing w:after="0" w:line="240" w:lineRule="auto"/>
        <w:rPr>
          <w:rFonts w:ascii="Georgia" w:eastAsia="Times New Roman" w:hAnsi="Georgia" w:cs="Tahoma"/>
          <w:color w:val="1F497D"/>
          <w:sz w:val="18"/>
          <w:szCs w:val="18"/>
        </w:rPr>
      </w:pPr>
    </w:p>
    <w:p w:rsidR="00F030C4" w:rsidRPr="0002422B" w:rsidRDefault="00F030C4" w:rsidP="00F030C4">
      <w:pPr>
        <w:spacing w:after="0" w:line="240" w:lineRule="auto"/>
        <w:rPr>
          <w:rFonts w:ascii="Georgia" w:eastAsia="Times New Roman" w:hAnsi="Georgia" w:cs="Tahoma"/>
          <w:color w:val="1F497D"/>
          <w:sz w:val="18"/>
          <w:szCs w:val="18"/>
        </w:rPr>
      </w:pPr>
    </w:p>
    <w:tbl>
      <w:tblPr>
        <w:tblW w:w="8475" w:type="dxa"/>
        <w:jc w:val="center"/>
        <w:tblInd w:w="87" w:type="dxa"/>
        <w:tblCellMar>
          <w:left w:w="0" w:type="dxa"/>
          <w:right w:w="0" w:type="dxa"/>
        </w:tblCellMar>
        <w:tblLook w:val="04A0" w:firstRow="1" w:lastRow="0" w:firstColumn="1" w:lastColumn="0" w:noHBand="0" w:noVBand="1"/>
      </w:tblPr>
      <w:tblGrid>
        <w:gridCol w:w="505"/>
        <w:gridCol w:w="3954"/>
        <w:gridCol w:w="1553"/>
        <w:gridCol w:w="2463"/>
      </w:tblGrid>
      <w:tr w:rsidR="00F030C4" w:rsidRPr="0002422B" w:rsidTr="00591470">
        <w:trPr>
          <w:cantSplit/>
          <w:trHeight w:val="134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lastRenderedPageBreak/>
              <w:t xml:space="preserve"> 34.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Создание комитета совета директоров по урегулированию корпоративных конфликтов или возложение функций указанного комитета на другой комитет (кроме комитета по аудиту и комитета по кадрам и вознаграждениям)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В Банке создан Комитет по стратегическому планированию в 2011 году </w:t>
            </w:r>
          </w:p>
        </w:tc>
      </w:tr>
      <w:tr w:rsidR="00F030C4" w:rsidRPr="0002422B" w:rsidTr="00591470">
        <w:trPr>
          <w:cantSplit/>
          <w:trHeight w:val="82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комитета по урегулированию корпоративных конфликтов должностных лиц акционерного общества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См. п. 34 </w:t>
            </w:r>
          </w:p>
        </w:tc>
      </w:tr>
      <w:tr w:rsidR="00F030C4" w:rsidRPr="0002422B" w:rsidTr="00591470">
        <w:trPr>
          <w:cantSplit/>
          <w:trHeight w:val="82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Осуществление руководства комитетом по урегулированию корпоративных конфликтов независимым директором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См. п. 34 </w:t>
            </w:r>
          </w:p>
        </w:tc>
      </w:tr>
      <w:tr w:rsidR="00F030C4" w:rsidRPr="0002422B" w:rsidTr="00591470">
        <w:trPr>
          <w:cantSplit/>
          <w:trHeight w:val="224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утвержденных советом директоров внутренних документов акционерного общества, предусматривающих порядок формирования и работы комитетов совета директоров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В Банке действуют:</w:t>
            </w:r>
          </w:p>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Комитете по кадрам и вознаграждениям Совета директоров ОАО «ИнтехБанк»,</w:t>
            </w:r>
          </w:p>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Комитете по аудиту и рискам Совета директоров ОАО «ИнтехБанк,</w:t>
            </w:r>
          </w:p>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Комитете по стратегическому планированию Совета директоров ОАО «ИнтехБанк»</w:t>
            </w:r>
          </w:p>
        </w:tc>
      </w:tr>
      <w:tr w:rsidR="00F030C4" w:rsidRPr="0002422B" w:rsidTr="00591470">
        <w:trPr>
          <w:cantSplit/>
          <w:trHeight w:val="282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порядка определения кворума совета директоров, позволяющего обеспечивать обязательное участие независимых директоров в заседаниях совета директоров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lang w:val="en-US"/>
              </w:rPr>
            </w:pPr>
            <w:r w:rsidRPr="0002422B">
              <w:rPr>
                <w:rFonts w:ascii="Georgia" w:eastAsia="Times New Roman" w:hAnsi="Georgia" w:cs="Tahoma"/>
                <w:color w:val="1F497D"/>
                <w:sz w:val="18"/>
                <w:szCs w:val="18"/>
              </w:rPr>
              <w:t>Согласно Главе 15 п. 15.8 Устава ПАО «ИнтехБанк» кворум для проведения заседания Совета директоров Банка составляет 50 (Пятьдесят) процентов от числа избранных членов Совета директоров Банка. Практика: количество независимых директоров в составе Совета директоров 3 из 7.</w:t>
            </w:r>
          </w:p>
          <w:p w:rsidR="0002422B" w:rsidRPr="0002422B" w:rsidRDefault="0002422B" w:rsidP="00F030C4">
            <w:pPr>
              <w:spacing w:after="0" w:line="240" w:lineRule="auto"/>
              <w:rPr>
                <w:rFonts w:ascii="Georgia" w:eastAsia="Times New Roman" w:hAnsi="Georgia" w:cs="Tahoma"/>
                <w:color w:val="1F497D"/>
                <w:sz w:val="18"/>
                <w:szCs w:val="18"/>
                <w:lang w:val="en-US"/>
              </w:rPr>
            </w:pPr>
          </w:p>
        </w:tc>
      </w:tr>
      <w:tr w:rsidR="00F030C4" w:rsidRPr="0002422B" w:rsidTr="00591470">
        <w:trPr>
          <w:cantSplit/>
          <w:trHeight w:val="315"/>
          <w:jc w:val="center"/>
        </w:trPr>
        <w:tc>
          <w:tcPr>
            <w:tcW w:w="8475"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Times New Roman" w:eastAsia="Times New Roman" w:hAnsi="Times New Roman" w:cs="Times New Roman"/>
                <w:b/>
                <w:bCs/>
                <w:sz w:val="20"/>
                <w:szCs w:val="20"/>
              </w:rPr>
            </w:pPr>
            <w:r w:rsidRPr="0002422B">
              <w:rPr>
                <w:rFonts w:ascii="Georgia" w:eastAsia="Times New Roman" w:hAnsi="Georgia" w:cs="Tahoma"/>
                <w:b/>
                <w:bCs/>
                <w:color w:val="FFFFFF"/>
                <w:sz w:val="20"/>
                <w:szCs w:val="20"/>
              </w:rPr>
              <w:t>Исполнительные органы</w:t>
            </w:r>
          </w:p>
        </w:tc>
      </w:tr>
      <w:tr w:rsidR="00F030C4" w:rsidRPr="0002422B" w:rsidTr="00591470">
        <w:trPr>
          <w:cantSplit/>
          <w:trHeight w:val="499"/>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39.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коллегиального исполнительного органа (правления) акционерного общества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16 п. 16.1 Устава ПАО «ИнтехБанк»</w:t>
            </w:r>
          </w:p>
        </w:tc>
      </w:tr>
      <w:tr w:rsidR="00F030C4" w:rsidRPr="0002422B" w:rsidTr="00591470">
        <w:trPr>
          <w:cantSplit/>
          <w:trHeight w:val="196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положения о необходимости одобрения правлением сделок с недвижимостью, получения акционерным обществом кредитов, если указанные сделки не относятся к крупным сделкам и их совершение не относится к обычной хозяйственной деятельности акционерного общества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16 п. 16.2 Устава ПАО «ИнтехБанк», Глава 4 п. 4.1 Положения о Правлении ПАО «ИнтехБанк»</w:t>
            </w:r>
          </w:p>
        </w:tc>
      </w:tr>
      <w:tr w:rsidR="00F030C4" w:rsidRPr="0002422B" w:rsidTr="00591470">
        <w:trPr>
          <w:cantSplit/>
          <w:trHeight w:val="111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процедуры согласования операций, которые выходят за рамки финансово-хозяйственного плана акционерного общества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Совете директоров ПАО «ИнтехБанк»</w:t>
            </w:r>
          </w:p>
        </w:tc>
      </w:tr>
      <w:tr w:rsidR="00F030C4" w:rsidRPr="0002422B" w:rsidTr="00591470">
        <w:trPr>
          <w:cantSplit/>
          <w:trHeight w:val="140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исполнительных органов лиц, являющихся участником, генеральным директором (управляющим), членом органа управления или работником юридического лица, конкурирующего с акционерным обществом </w:t>
            </w:r>
          </w:p>
        </w:tc>
        <w:tc>
          <w:tcPr>
            <w:tcW w:w="155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3 п. 3.3 Положения о Правлении ПАО «ИнтехБанк».</w:t>
            </w:r>
          </w:p>
        </w:tc>
      </w:tr>
    </w:tbl>
    <w:p w:rsidR="00F030C4" w:rsidRPr="0002422B" w:rsidRDefault="00F030C4" w:rsidP="00F030C4">
      <w:pPr>
        <w:spacing w:after="0" w:line="240" w:lineRule="auto"/>
        <w:rPr>
          <w:rFonts w:ascii="Georgia" w:eastAsia="Times New Roman" w:hAnsi="Georgia" w:cs="Tahoma"/>
          <w:color w:val="1F497D"/>
          <w:sz w:val="18"/>
          <w:szCs w:val="18"/>
        </w:rPr>
      </w:pPr>
    </w:p>
    <w:p w:rsidR="00F030C4" w:rsidRPr="0002422B" w:rsidRDefault="00F030C4" w:rsidP="00F030C4">
      <w:pPr>
        <w:spacing w:after="0" w:line="240" w:lineRule="auto"/>
        <w:rPr>
          <w:rFonts w:ascii="Georgia" w:eastAsia="Times New Roman" w:hAnsi="Georgia" w:cs="Tahoma"/>
          <w:color w:val="1F497D"/>
          <w:sz w:val="18"/>
          <w:szCs w:val="18"/>
        </w:rPr>
      </w:pPr>
    </w:p>
    <w:p w:rsidR="00F030C4" w:rsidRPr="0002422B" w:rsidRDefault="00F030C4" w:rsidP="00F030C4">
      <w:pPr>
        <w:spacing w:after="0" w:line="240" w:lineRule="auto"/>
        <w:rPr>
          <w:rFonts w:ascii="Georgia" w:eastAsia="Times New Roman" w:hAnsi="Georgia" w:cs="Tahoma"/>
          <w:color w:val="1F497D"/>
          <w:sz w:val="18"/>
          <w:szCs w:val="18"/>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4459"/>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исполнительных органов акционерного общества лиц, которые признавались виновными в совершении преступлений в сфере экономической деятельности или преступлений против государственной власти, интересов государственной службы и службы в органах местного самоуправления или к которым применялись административные наказания за правонарушения в области предпринимательской деятельности или в области финансов, налогов и сборов, рынка ценных бумаг. Если функции единоличного исполнительного органа выполняются управляющей организацией или управляющим - соответствие генерального директора и членов правления управляющей организации либо управляющего требованиям, предъявляемым к генеральному директору и членам правления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3 п. 3.2 Положения о Правлении ПАО «ИнтехБанк»</w:t>
            </w:r>
          </w:p>
        </w:tc>
      </w:tr>
      <w:tr w:rsidR="00F030C4" w:rsidRPr="0002422B" w:rsidTr="00F030C4">
        <w:trPr>
          <w:cantSplit/>
          <w:trHeight w:val="209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запрета управляющей организации (управляющему) осуществлять аналогичные функции в конкурирующем обществе, а также находиться в каких-либо иных имущественных отношениях с акционерным обществом, помимо оказания услуг управляющей организации (управляющего)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Неприменимо</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Практика: передача полномочий единоличного исполнительного органа Банка управляющей организации не предусмотрено Уставом ПАО «ИнтехБанк»</w:t>
            </w:r>
          </w:p>
        </w:tc>
      </w:tr>
      <w:tr w:rsidR="00F030C4" w:rsidRPr="0002422B" w:rsidTr="00F030C4">
        <w:trPr>
          <w:cantSplit/>
          <w:trHeight w:val="2263"/>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обязанности исполнительных органов воздерживаться от действий, которые приведут или потенциально способны привести к возникновению конфликта между их интересами и интересами акционерного общества, а в случае возникновения такого конфликта – обязанности информировать об этом совет директоров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7 п. 7.3. Положения о Правлении ПАО «ИнтехБанк»</w:t>
            </w:r>
          </w:p>
        </w:tc>
      </w:tr>
      <w:tr w:rsidR="00F030C4" w:rsidRPr="0002422B" w:rsidTr="00F030C4">
        <w:trPr>
          <w:cantSplit/>
          <w:trHeight w:val="153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критериев отбора управляющей организации (управляющего)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Неприменимо</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Практика: передача полномочий единоличного исполнительного органа Банка управляющей организации не предусмотрено Уставом ПАО «ИнтехБанк»</w:t>
            </w:r>
          </w:p>
        </w:tc>
      </w:tr>
      <w:tr w:rsidR="00F030C4" w:rsidRPr="0002422B" w:rsidTr="00F030C4">
        <w:trPr>
          <w:cantSplit/>
          <w:trHeight w:val="83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Представление исполнительными органами акционерного общества ежемесячных отчетов о своей работе совету директоров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6 п. 6.2. Положения о Правлении ПАО «ИнтехБанк»</w:t>
            </w:r>
          </w:p>
        </w:tc>
      </w:tr>
      <w:tr w:rsidR="00F030C4" w:rsidRPr="0002422B" w:rsidTr="00F030C4">
        <w:trPr>
          <w:cantSplit/>
          <w:trHeight w:val="153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Установление в договорах, заключаемых акционерным обществом с генеральным директором (управляющей организацией, управляющим) и членами правления, ответственности за нарушение положений об использовании конфиденциальной и служебной информации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Трудовой договор</w:t>
            </w:r>
          </w:p>
        </w:tc>
      </w:tr>
    </w:tbl>
    <w:p w:rsidR="00F030C4" w:rsidRPr="0002422B" w:rsidRDefault="00F030C4" w:rsidP="00F030C4">
      <w:pPr>
        <w:rPr>
          <w:rFonts w:ascii="Times New Roman" w:hAnsi="Times New Roman" w:cs="Times New Roman"/>
        </w:rPr>
      </w:pPr>
    </w:p>
    <w:p w:rsidR="00F030C4" w:rsidRPr="0002422B" w:rsidRDefault="00F030C4" w:rsidP="00F030C4">
      <w:pPr>
        <w:rPr>
          <w:rFonts w:ascii="Times New Roman" w:hAnsi="Times New Roman" w:cs="Times New Roman"/>
        </w:rPr>
      </w:pPr>
      <w:r w:rsidRPr="0002422B">
        <w:rPr>
          <w:rFonts w:ascii="Times New Roman" w:hAnsi="Times New Roman" w:cs="Times New Roman"/>
        </w:rPr>
        <w:br w:type="page"/>
      </w:r>
    </w:p>
    <w:p w:rsidR="00F030C4" w:rsidRPr="00425E4F" w:rsidRDefault="00F030C4" w:rsidP="00F030C4">
      <w:pPr>
        <w:spacing w:after="120" w:line="240" w:lineRule="auto"/>
        <w:rPr>
          <w:rFonts w:ascii="Times New Roman" w:hAnsi="Times New Roman" w:cs="Times New Roman"/>
          <w:sz w:val="20"/>
          <w:szCs w:val="20"/>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Times New Roman" w:eastAsia="Times New Roman" w:hAnsi="Times New Roman" w:cs="Times New Roman"/>
                <w:b/>
                <w:bCs/>
                <w:sz w:val="20"/>
                <w:szCs w:val="20"/>
              </w:rPr>
            </w:pPr>
            <w:r w:rsidRPr="0002422B">
              <w:rPr>
                <w:rFonts w:ascii="Georgia" w:eastAsia="Times New Roman" w:hAnsi="Georgia" w:cs="Tahoma"/>
                <w:b/>
                <w:bCs/>
                <w:color w:val="FFFFFF"/>
                <w:sz w:val="20"/>
                <w:szCs w:val="20"/>
              </w:rPr>
              <w:t>Секретарь общества</w:t>
            </w:r>
          </w:p>
        </w:tc>
      </w:tr>
      <w:tr w:rsidR="00F030C4" w:rsidRPr="0002422B" w:rsidTr="00F030C4">
        <w:trPr>
          <w:cantSplit/>
          <w:trHeight w:val="809"/>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49.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акционерном обществе специального должностного лица (секретаря общества), задачей которого является обеспечение соблюдения органами и должностными лицами акционерного общества процедурных требований, гарантирующих реализацию прав и законных интересов акционеров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Корпоративном секретаре Совета директоров ОАО «ИнтехБанк», Глава 7 Положения о Совете директоров ПАО «ИнтехБанк», Глава 6 Кодекса корпоративного управления ПАО «ИнтехБанк»</w:t>
            </w:r>
          </w:p>
        </w:tc>
      </w:tr>
      <w:tr w:rsidR="00F030C4" w:rsidRPr="0002422B" w:rsidTr="00F030C4">
        <w:trPr>
          <w:cantSplit/>
          <w:trHeight w:val="145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Наличие в уставе или внутренних документах акционерного общества порядка назначения (избрания) секретаря общества и обязанностей секретаря общества</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15 п. 15.2.32 Устава ПАО «ИнтехБанк», Глава 7 п. 7.1-7.4 Положения о Совете директоров ПАО «ИнтехБанк», Глава 6 Кодекса корпоративного управления ОАО «ИнтехБанк»</w:t>
            </w:r>
          </w:p>
        </w:tc>
      </w:tr>
      <w:tr w:rsidR="00F030C4" w:rsidRPr="0002422B" w:rsidTr="00F030C4">
        <w:trPr>
          <w:cantSplit/>
          <w:trHeight w:val="73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требований к кандидатуре секретаря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Корпоративном секретаре Совета директоров ОАО «ИнтехБанк»</w:t>
            </w:r>
          </w:p>
        </w:tc>
      </w:tr>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Times New Roman" w:eastAsia="Times New Roman" w:hAnsi="Times New Roman" w:cs="Times New Roman"/>
                <w:b/>
                <w:bCs/>
                <w:sz w:val="20"/>
                <w:szCs w:val="20"/>
              </w:rPr>
            </w:pPr>
            <w:r w:rsidRPr="0002422B">
              <w:rPr>
                <w:rFonts w:ascii="Georgia" w:eastAsia="Times New Roman" w:hAnsi="Georgia" w:cs="Tahoma"/>
                <w:b/>
                <w:bCs/>
                <w:color w:val="FFFFFF"/>
                <w:sz w:val="20"/>
                <w:szCs w:val="20"/>
              </w:rPr>
              <w:t>Существенные корпоративные действия</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требования об одобрении крупной сделки до ее совершения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20 Устава ПАО «ИнтехБанк»</w:t>
            </w:r>
          </w:p>
        </w:tc>
      </w:tr>
      <w:tr w:rsidR="00F030C4" w:rsidRPr="0002422B" w:rsidTr="00F030C4">
        <w:trPr>
          <w:cantSplit/>
          <w:trHeight w:val="11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Обязательное привлечение независимого оценщика для оценки рыночной стоимости имущества, являющегося предметом крупной сделки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Во внутренних документах Банка не содержится данное требование. Практика: Подобные сделки не осуществлялись.</w:t>
            </w:r>
          </w:p>
        </w:tc>
      </w:tr>
      <w:tr w:rsidR="00F030C4" w:rsidRPr="0002422B" w:rsidTr="00F030C4">
        <w:trPr>
          <w:cantSplit/>
          <w:trHeight w:val="61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запрета на принятие при приобретении крупных пакетов акций акционерного общества (поглощении) каких-либо действий, направленных на защиту интересов исполнительных органов (членов этих органов) и членов совета директоров акционерного общества, а также ухудшающих положение акционеров по сравнению с существующим (в частности, запрета на принятие советом директоров до окончания предполагаемого срока приобретения акций решения о выпуске дополнительных акций, о выпуске ценных бумаг, конвертируемых в акции, или ценных бумаг, предоставляющих право приобретения акций общества, даже если право принятия такого решения предоставлено ему уставом)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В уставе Банка данные запреты не установлены. </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требования об обязательном привлечении независимого оценщика для оценки текущей рыночной стоимости акций и возможных изменений их рыночной стоимости в результате поглощения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5 п. 5.5 Устава ПАО «ИнтехБанк»</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уставе акционерного общества освобождения приобретателя от обязанности предложить акционерам продать принадлежащие им обыкновенные акции общества (эмиссионные ценные бумаги, конвертируемые в обыкновенные акции) при поглощении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В Уставе Банка указанные положения отсутствуют.</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lastRenderedPageBreak/>
              <w:t xml:space="preserve"> 57.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или внутренних документах акционерного общества требования об обязательном привлечении независимого оценщика для определения соотношения конвертации акций при реорганизации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Глава 8, п.8.2 Кодекса корпоративного управления ОАО «ИнтехБанк»</w:t>
            </w:r>
          </w:p>
        </w:tc>
      </w:tr>
    </w:tbl>
    <w:p w:rsidR="00F030C4" w:rsidRPr="00425E4F" w:rsidRDefault="00F030C4" w:rsidP="00F030C4">
      <w:pPr>
        <w:spacing w:after="120" w:line="240" w:lineRule="auto"/>
        <w:rPr>
          <w:rFonts w:ascii="Times New Roman" w:hAnsi="Times New Roman" w:cs="Times New Roman"/>
          <w:sz w:val="20"/>
          <w:szCs w:val="20"/>
        </w:rPr>
      </w:pPr>
    </w:p>
    <w:tbl>
      <w:tblPr>
        <w:tblW w:w="8336" w:type="dxa"/>
        <w:jc w:val="center"/>
        <w:tblInd w:w="87" w:type="dxa"/>
        <w:tblCellMar>
          <w:left w:w="0" w:type="dxa"/>
          <w:right w:w="0" w:type="dxa"/>
        </w:tblCellMar>
        <w:tblLook w:val="04A0" w:firstRow="1" w:lastRow="0" w:firstColumn="1" w:lastColumn="0" w:noHBand="0" w:noVBand="1"/>
      </w:tblPr>
      <w:tblGrid>
        <w:gridCol w:w="486"/>
        <w:gridCol w:w="3767"/>
        <w:gridCol w:w="1390"/>
        <w:gridCol w:w="2693"/>
      </w:tblGrid>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b/>
                <w:bCs/>
                <w:color w:val="FFFFFF"/>
                <w:sz w:val="20"/>
                <w:szCs w:val="20"/>
              </w:rPr>
              <w:t>Раскрытие информации</w:t>
            </w:r>
          </w:p>
        </w:tc>
      </w:tr>
      <w:tr w:rsidR="00F030C4" w:rsidRPr="0002422B" w:rsidTr="00F030C4">
        <w:trPr>
          <w:cantSplit/>
          <w:trHeight w:val="125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утвержденного советом директоров внутреннего документа, определяющего правила и подходы акционерного общества к раскрытию информации (Положения об информационной политике)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об информационной политике ПАО «ИнтехБанк»</w:t>
            </w:r>
          </w:p>
        </w:tc>
      </w:tr>
      <w:tr w:rsidR="00F030C4" w:rsidRPr="0002422B" w:rsidTr="00F030C4">
        <w:trPr>
          <w:cantSplit/>
          <w:trHeight w:val="2108"/>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59.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требования о раскрытии информации о целях размещения акций, о лицах, которые собираются приобрести размещаемые акции, в том числе крупный пакет акций, а также о том, будут ли высшие должностные лица акционерного общества участвовать в приобретении размещаемых акций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Во внутренних документах Банка не указано данное требование.</w:t>
            </w:r>
          </w:p>
        </w:tc>
      </w:tr>
      <w:tr w:rsidR="00F030C4" w:rsidRPr="0002422B" w:rsidTr="00F030C4">
        <w:trPr>
          <w:cantSplit/>
          <w:trHeight w:val="141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перечня информации, документов и материалов, которые должны предоставляться акционерам для решения вопросов, выносимых на общее собрание акционеров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2, п.2.2.4 Положения об Общем собрании акционеров ПАО «ИнтехБанк»</w:t>
            </w:r>
          </w:p>
        </w:tc>
      </w:tr>
      <w:tr w:rsidR="00F030C4" w:rsidRPr="0002422B" w:rsidTr="00F030C4">
        <w:trPr>
          <w:cantSplit/>
          <w:trHeight w:val="111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 акционерного общества веб-сайта в сети Интернет и регулярное раскрытие информации об акционерном обществе на этом веб-сайте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hAnsi="Georgia" w:cs="Tahoma"/>
                <w:color w:val="1F497D"/>
                <w:szCs w:val="18"/>
              </w:rPr>
            </w:pPr>
            <w:r w:rsidRPr="0002422B">
              <w:rPr>
                <w:rFonts w:ascii="Georgia" w:eastAsia="Times New Roman" w:hAnsi="Georgia" w:cs="Tahoma"/>
                <w:color w:val="1F497D"/>
                <w:sz w:val="18"/>
                <w:szCs w:val="18"/>
              </w:rPr>
              <w:fldChar w:fldCharType="begin"/>
            </w:r>
            <w:r w:rsidRPr="0002422B">
              <w:rPr>
                <w:rFonts w:ascii="Georgia" w:eastAsia="Times New Roman" w:hAnsi="Georgia" w:cs="Tahoma"/>
                <w:color w:val="1F497D"/>
                <w:sz w:val="18"/>
                <w:szCs w:val="18"/>
              </w:rPr>
              <w:instrText>HYPERLINK "http://www.intechbank.ru/"</w:instrText>
            </w:r>
            <w:r w:rsidRPr="0002422B">
              <w:rPr>
                <w:rFonts w:ascii="Georgia" w:eastAsia="Times New Roman" w:hAnsi="Georgia" w:cs="Tahoma"/>
                <w:color w:val="1F497D"/>
                <w:sz w:val="18"/>
                <w:szCs w:val="18"/>
              </w:rPr>
              <w:fldChar w:fldCharType="separate"/>
            </w:r>
            <w:r w:rsidRPr="0002422B">
              <w:rPr>
                <w:rFonts w:ascii="Georgia" w:eastAsia="Times New Roman" w:hAnsi="Georgia" w:cs="Tahoma"/>
                <w:color w:val="1F497D"/>
                <w:sz w:val="18"/>
                <w:szCs w:val="18"/>
              </w:rPr>
              <w:t xml:space="preserve"> </w:t>
            </w:r>
            <w:r w:rsidRPr="0002422B">
              <w:rPr>
                <w:rFonts w:ascii="Georgia" w:hAnsi="Georgia" w:cs="Tahoma"/>
                <w:color w:val="1F497D"/>
                <w:szCs w:val="18"/>
              </w:rPr>
              <w:t xml:space="preserve">http://www.intechbank.ru/ </w:t>
            </w:r>
          </w:p>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hAnsi="Georgia" w:cs="Tahoma"/>
                <w:color w:val="1F497D"/>
                <w:szCs w:val="18"/>
              </w:rPr>
              <w:t>Положение об информационной политике ПАО «ИнтехБанк»</w:t>
            </w:r>
            <w:r w:rsidRPr="0002422B">
              <w:rPr>
                <w:rFonts w:ascii="Georgia" w:eastAsia="Times New Roman" w:hAnsi="Georgia" w:cs="Tahoma"/>
                <w:color w:val="1F497D"/>
                <w:sz w:val="18"/>
                <w:szCs w:val="18"/>
              </w:rPr>
              <w:fldChar w:fldCharType="end"/>
            </w:r>
          </w:p>
        </w:tc>
      </w:tr>
      <w:tr w:rsidR="00F030C4" w:rsidRPr="0002422B" w:rsidTr="00F030C4">
        <w:trPr>
          <w:cantSplit/>
          <w:trHeight w:val="3104"/>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требования о раскрытии информации о сделках акционерного общества с лицами, относящимися в соответствии с уставом к высшим должностным лицам акционерного общества, а также о сделках акционерного общества с организациями, в которых высшим должностным лицам акционерного общества прямо или косвенно принадлежит 20 и более процентов уставного капитала акционерного общества или на которые такие лица могут иным образом оказать существенное влияние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Приложение № 3 к Положению об информационной политике ПАО «ИнтехБанк»</w:t>
            </w:r>
          </w:p>
        </w:tc>
      </w:tr>
      <w:tr w:rsidR="00F030C4" w:rsidRPr="0002422B" w:rsidTr="00F030C4">
        <w:trPr>
          <w:cantSplit/>
          <w:trHeight w:val="124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требования о раскрытии информации обо всех сделках, которые могут оказать влияние на рыночную стоимость акций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Приложение № 3 к Положению об информационной политике ПАО «ИнтехБанк»</w:t>
            </w:r>
          </w:p>
        </w:tc>
      </w:tr>
      <w:tr w:rsidR="00F030C4" w:rsidRPr="0002422B" w:rsidTr="00F030C4">
        <w:trPr>
          <w:cantSplit/>
          <w:trHeight w:val="2393"/>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lastRenderedPageBreak/>
              <w:t xml:space="preserve"> 64.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утвержденного советом директоров внутреннего документа по использованию существенной информации о деятельности акционерного общества, акциях и других ценных бумагах общества и сделках с ними, которая не является общедоступной и раскрытие которой может оказать существенное влияние на рыночную стоимость акций и других ценных бумаг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4, п.4.3. Положения об информационной политике ПАО «ИнтехБанк»</w:t>
            </w:r>
          </w:p>
        </w:tc>
      </w:tr>
    </w:tbl>
    <w:p w:rsidR="00F030C4" w:rsidRPr="0040084F" w:rsidRDefault="00F030C4" w:rsidP="00F030C4">
      <w:pPr>
        <w:rPr>
          <w:rFonts w:ascii="Times New Roman" w:hAnsi="Times New Roman" w:cs="Times New Roman"/>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Georgia" w:eastAsia="Times New Roman" w:hAnsi="Georgia" w:cs="Tahoma"/>
                <w:b/>
                <w:bCs/>
                <w:color w:val="FFFFFF"/>
                <w:sz w:val="20"/>
                <w:szCs w:val="20"/>
              </w:rPr>
            </w:pPr>
            <w:r w:rsidRPr="0002422B">
              <w:rPr>
                <w:rFonts w:ascii="Georgia" w:eastAsia="Times New Roman" w:hAnsi="Georgia" w:cs="Tahoma"/>
                <w:b/>
                <w:bCs/>
                <w:color w:val="FFFFFF"/>
                <w:sz w:val="20"/>
                <w:szCs w:val="20"/>
              </w:rPr>
              <w:t>Контроль за финансово-хозяйственной деятельностью</w:t>
            </w:r>
          </w:p>
        </w:tc>
      </w:tr>
      <w:tr w:rsidR="00F030C4" w:rsidRPr="0002422B" w:rsidTr="00F030C4">
        <w:trPr>
          <w:cantSplit/>
          <w:trHeight w:val="54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утвержденных советом директоров процедур внутреннего контроля за финансово-хозяйственной деятельностью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Глава 5 Положения о ревизионной комиссии ОАО «ИнтехБанк». </w:t>
            </w:r>
          </w:p>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Положение о системе внутреннего контроля ПАО «ИнтехБанк».</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Наличие специального подразделения акционерного общества, обеспечивающего соблюдение процедур внутреннего контроля (контрольно-ревизионной службы)</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18 Устава ПАО «ИнтехБанк»</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требования об определении структуры и состава контрольно-ревизионной службы акционервного общества советом директоров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 Положение о ревизионной комиссии ОАО «ИнтехБанк»</w:t>
            </w:r>
          </w:p>
        </w:tc>
      </w:tr>
      <w:tr w:rsidR="00F030C4" w:rsidRPr="0002422B" w:rsidTr="00F030C4">
        <w:trPr>
          <w:cantSplit/>
          <w:trHeight w:val="125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контрольно-ревизионной службы лиц, которые признавались виновными в совершении преступлений в сфере экономической деятельности или преступлений против государственной власти, интересов государственной службы и службы в органах местного самоуправления или к которым применялись административные наказания за правонарушения в области предпринимательской деятельности или в области финансов, налогов и сборов, рынка ценных бумаг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Практика: такие лица в составе контрольно-ревизионной службы Банка отсвутствуют.</w:t>
            </w:r>
          </w:p>
        </w:tc>
      </w:tr>
      <w:tr w:rsidR="00F030C4" w:rsidRPr="0002422B" w:rsidTr="00F030C4">
        <w:trPr>
          <w:cantSplit/>
          <w:trHeight w:val="41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69.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Отсутствие в составе контрольно-ревизионной службы лиц, входящих в состав исполнительных органов акционерного общества, а также лиц, являющихся участниками, генеральным директором (управляющим), членами органов управления или работниками юридического лица, конкурирующего с акционерным обществом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 п. 1.6 Положения о ревизионной комиссии ПАО «ИнтехБанк»</w:t>
            </w:r>
          </w:p>
        </w:tc>
      </w:tr>
      <w:tr w:rsidR="00F030C4" w:rsidRPr="0002422B" w:rsidTr="00F030C4">
        <w:trPr>
          <w:cantSplit/>
          <w:trHeight w:val="1313"/>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70.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срока представления в контрольно-ревизионную службу документов и материалов для оценки проведенной финансово-хозяйственной операции, а также ответственности должностных лиц и работников акционерного общества за их непредставление в указанный срок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Согласно п.3.2. Положения о ревизионной комиссии ОАО «ИнтехБанк»</w:t>
            </w:r>
          </w:p>
        </w:tc>
      </w:tr>
      <w:tr w:rsidR="00F030C4" w:rsidRPr="0002422B" w:rsidTr="00F030C4">
        <w:trPr>
          <w:cantSplit/>
          <w:trHeight w:val="91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71.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обязанности контрольно-ревизионной службы сообщать о выявленных нарушениях комитету по аудиту, а в случае его отсутствия – совету директоров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4 п. 4.3 Положения о ревизионной комиссии ОАО «ИнтехБанк»</w:t>
            </w:r>
          </w:p>
        </w:tc>
      </w:tr>
      <w:tr w:rsidR="00F030C4" w:rsidRPr="0002422B" w:rsidTr="00F030C4">
        <w:trPr>
          <w:cantSplit/>
          <w:trHeight w:val="1305"/>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lastRenderedPageBreak/>
              <w:t xml:space="preserve"> 72.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уставе акционерного общества требования о предварительной оценке контрольно-ревизионной службой целесообразности совершения операций, не предусмотренных финансово-хозяйственным планом акционерного общества (нестандартных операций)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15 Устава ПАО «ИнтехБанк»</w:t>
            </w:r>
          </w:p>
        </w:tc>
      </w:tr>
      <w:tr w:rsidR="00F030C4" w:rsidRPr="0002422B" w:rsidTr="00F030C4">
        <w:trPr>
          <w:cantSplit/>
          <w:trHeight w:val="560"/>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73.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во внутренних документах акционерного общества порядка согласования нестандартной операции с советом директоров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2 п. 2.3.8 Положения о Совете директоров Банка ПАО «ИнтехБанк»</w:t>
            </w:r>
          </w:p>
        </w:tc>
      </w:tr>
      <w:tr w:rsidR="00F030C4" w:rsidRPr="0002422B" w:rsidTr="00F030C4">
        <w:trPr>
          <w:cantSplit/>
          <w:trHeight w:val="216"/>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74.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утвержденного советом директоров внутреннего документа, определяющего порядок проведения проверок финансово-хозяйственной деятельности акционерного общества ревизионной комиссией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5 Положения о ревизионной комиссии ОАО «ИнтехБанк»</w:t>
            </w:r>
          </w:p>
        </w:tc>
      </w:tr>
      <w:tr w:rsidR="00F030C4" w:rsidRPr="0002422B" w:rsidTr="00F030C4">
        <w:trPr>
          <w:cantSplit/>
          <w:trHeight w:val="81"/>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75.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Осуществление комитетом по аудиту оценки аудиторского заключения до представления его акционерам на общем собрании акционеров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Глава 3 Положения о Комитете по аудиту и рискам Совета директоров ПАО «ИнтехБанк»</w:t>
            </w:r>
          </w:p>
        </w:tc>
      </w:tr>
    </w:tbl>
    <w:p w:rsidR="00F030C4" w:rsidRPr="0002422B" w:rsidRDefault="00F030C4" w:rsidP="00F030C4">
      <w:pPr>
        <w:spacing w:after="120" w:line="240" w:lineRule="auto"/>
        <w:rPr>
          <w:rFonts w:ascii="Times New Roman" w:hAnsi="Times New Roman" w:cs="Times New Roman"/>
          <w:sz w:val="24"/>
          <w:szCs w:val="24"/>
        </w:rPr>
      </w:pPr>
    </w:p>
    <w:tbl>
      <w:tblPr>
        <w:tblW w:w="8336" w:type="dxa"/>
        <w:jc w:val="center"/>
        <w:tblInd w:w="87" w:type="dxa"/>
        <w:tblCellMar>
          <w:left w:w="0" w:type="dxa"/>
          <w:right w:w="0" w:type="dxa"/>
        </w:tblCellMar>
        <w:tblLook w:val="04A0" w:firstRow="1" w:lastRow="0" w:firstColumn="1" w:lastColumn="0" w:noHBand="0" w:noVBand="1"/>
      </w:tblPr>
      <w:tblGrid>
        <w:gridCol w:w="505"/>
        <w:gridCol w:w="3954"/>
        <w:gridCol w:w="1414"/>
        <w:gridCol w:w="2463"/>
      </w:tblGrid>
      <w:tr w:rsidR="00F030C4" w:rsidRPr="0002422B" w:rsidTr="00F030C4">
        <w:trPr>
          <w:cantSplit/>
          <w:trHeight w:val="315"/>
          <w:jc w:val="center"/>
        </w:trPr>
        <w:tc>
          <w:tcPr>
            <w:tcW w:w="8336" w:type="dxa"/>
            <w:gridSpan w:val="4"/>
            <w:tcBorders>
              <w:top w:val="single" w:sz="8" w:space="0" w:color="95B3D7"/>
              <w:left w:val="nil"/>
              <w:bottom w:val="single" w:sz="8" w:space="0" w:color="95B3D7"/>
              <w:right w:val="nil"/>
            </w:tcBorders>
            <w:shd w:val="clear" w:color="000000" w:fill="376091"/>
            <w:vAlign w:val="center"/>
            <w:hideMark/>
          </w:tcPr>
          <w:p w:rsidR="00F030C4" w:rsidRPr="0002422B" w:rsidRDefault="00F030C4" w:rsidP="00F030C4">
            <w:pPr>
              <w:spacing w:after="0" w:line="240" w:lineRule="auto"/>
              <w:jc w:val="center"/>
              <w:rPr>
                <w:rFonts w:ascii="Times New Roman" w:eastAsia="Times New Roman" w:hAnsi="Times New Roman" w:cs="Times New Roman"/>
                <w:b/>
                <w:bCs/>
                <w:sz w:val="20"/>
                <w:szCs w:val="20"/>
              </w:rPr>
            </w:pPr>
            <w:r w:rsidRPr="0002422B">
              <w:rPr>
                <w:rFonts w:ascii="Georgia" w:eastAsia="Times New Roman" w:hAnsi="Georgia" w:cs="Tahoma"/>
                <w:b/>
                <w:bCs/>
                <w:color w:val="FFFFFF"/>
                <w:sz w:val="20"/>
                <w:szCs w:val="20"/>
              </w:rPr>
              <w:t>Дивиденды</w:t>
            </w:r>
          </w:p>
        </w:tc>
      </w:tr>
      <w:tr w:rsidR="00F030C4" w:rsidRPr="0002422B" w:rsidTr="00F030C4">
        <w:trPr>
          <w:cantSplit/>
          <w:trHeight w:val="902"/>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76.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утвержденного советом директоров внутреннего документа, которым руководствуется совет директоров при принятии рекомендаций о размере дивидендов (Положения о дивидендной политике)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Практика: Рекомендации по размеру дивидендов утверждаются Советом директоров.</w:t>
            </w:r>
          </w:p>
        </w:tc>
      </w:tr>
      <w:tr w:rsidR="00F030C4" w:rsidRPr="0002422B" w:rsidTr="00F030C4">
        <w:trPr>
          <w:cantSplit/>
          <w:trHeight w:val="1217"/>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77.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Наличие в Положении о дивидендной политике порядка определения минимальной доли чистой прибыли акционерного общества, направляемой на выплату дивидендов, и условий, при которых не выплачиваются или не полностью выплачиваются дивиденды по привилегированным акциям, размер дивидендов по которым определен в уставе акционерного общества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См. п. 76</w:t>
            </w:r>
          </w:p>
        </w:tc>
      </w:tr>
      <w:tr w:rsidR="00F030C4" w:rsidRPr="0002422B" w:rsidTr="00F030C4">
        <w:trPr>
          <w:cantSplit/>
          <w:trHeight w:val="1559"/>
          <w:jc w:val="center"/>
        </w:trPr>
        <w:tc>
          <w:tcPr>
            <w:tcW w:w="505"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78. </w:t>
            </w:r>
          </w:p>
        </w:tc>
        <w:tc>
          <w:tcPr>
            <w:tcW w:w="395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Опубликование сведений о дивидендной политике акционерного общества и вносимых в нее изменениях в периодическом издании, предусмотренном уставом акционерного общества для опубликования сообщений о проведении общих собраний акционеров, а также размещение указанных сведений на веб-сайте акционерного общества в сети Интернет </w:t>
            </w:r>
          </w:p>
        </w:tc>
        <w:tc>
          <w:tcPr>
            <w:tcW w:w="1414"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 xml:space="preserve"> Не соблюдается </w:t>
            </w:r>
          </w:p>
        </w:tc>
        <w:tc>
          <w:tcPr>
            <w:tcW w:w="2463" w:type="dxa"/>
            <w:tcBorders>
              <w:top w:val="nil"/>
              <w:left w:val="nil"/>
              <w:bottom w:val="single" w:sz="8" w:space="0" w:color="95B3D7"/>
              <w:right w:val="nil"/>
            </w:tcBorders>
            <w:shd w:val="clear" w:color="auto" w:fill="auto"/>
            <w:vAlign w:val="center"/>
            <w:hideMark/>
          </w:tcPr>
          <w:p w:rsidR="00F030C4" w:rsidRPr="0002422B" w:rsidRDefault="00F030C4" w:rsidP="00F030C4">
            <w:pPr>
              <w:spacing w:after="0" w:line="240" w:lineRule="auto"/>
              <w:jc w:val="center"/>
              <w:rPr>
                <w:rFonts w:ascii="Georgia" w:eastAsia="Times New Roman" w:hAnsi="Georgia" w:cs="Tahoma"/>
                <w:color w:val="1F497D"/>
                <w:sz w:val="18"/>
                <w:szCs w:val="18"/>
              </w:rPr>
            </w:pPr>
            <w:r w:rsidRPr="0002422B">
              <w:rPr>
                <w:rFonts w:ascii="Georgia" w:eastAsia="Times New Roman" w:hAnsi="Georgia" w:cs="Tahoma"/>
                <w:color w:val="1F497D"/>
                <w:sz w:val="18"/>
                <w:szCs w:val="18"/>
              </w:rPr>
              <w:t>Практика: Раскрытие информации о выплате дивидендов происходит в соответствии с внутренними документами</w:t>
            </w:r>
          </w:p>
        </w:tc>
      </w:tr>
    </w:tbl>
    <w:p w:rsidR="00F030C4" w:rsidRPr="0002422B" w:rsidRDefault="00F030C4" w:rsidP="00F030C4"/>
    <w:p w:rsidR="004A0D22" w:rsidRPr="0002422B" w:rsidRDefault="004A0D22" w:rsidP="004A0D22">
      <w:pPr>
        <w:spacing w:after="0" w:line="240" w:lineRule="auto"/>
        <w:rPr>
          <w:sz w:val="20"/>
          <w:szCs w:val="20"/>
        </w:rPr>
      </w:pPr>
    </w:p>
    <w:p w:rsidR="004A0D22" w:rsidRPr="007D5972" w:rsidRDefault="004A0D22" w:rsidP="00E0754D">
      <w:pPr>
        <w:spacing w:after="120" w:line="240" w:lineRule="auto"/>
        <w:rPr>
          <w:rFonts w:ascii="Georgia" w:hAnsi="Georgia"/>
          <w:sz w:val="24"/>
          <w:szCs w:val="24"/>
          <w:highlight w:val="yellow"/>
        </w:rPr>
      </w:pPr>
    </w:p>
    <w:p w:rsidR="00E0754D" w:rsidRPr="007D5972" w:rsidRDefault="00E0754D" w:rsidP="00E0754D">
      <w:pPr>
        <w:spacing w:after="120" w:line="240" w:lineRule="auto"/>
        <w:rPr>
          <w:rFonts w:ascii="Georgia" w:hAnsi="Georgia"/>
          <w:sz w:val="24"/>
          <w:szCs w:val="24"/>
          <w:highlight w:val="yellow"/>
        </w:rPr>
      </w:pPr>
    </w:p>
    <w:p w:rsidR="003F0DEF" w:rsidRPr="007D5972" w:rsidRDefault="003F0DEF">
      <w:pPr>
        <w:rPr>
          <w:highlight w:val="yellow"/>
        </w:rPr>
      </w:pPr>
    </w:p>
    <w:p w:rsidR="00E0754D" w:rsidRPr="007D5972" w:rsidRDefault="00E0754D" w:rsidP="00E0754D">
      <w:pPr>
        <w:spacing w:after="120" w:line="240" w:lineRule="auto"/>
        <w:rPr>
          <w:rFonts w:ascii="Georgia" w:hAnsi="Georgia"/>
          <w:sz w:val="24"/>
          <w:szCs w:val="24"/>
          <w:highlight w:val="yellow"/>
        </w:rPr>
      </w:pPr>
    </w:p>
    <w:p w:rsidR="006114A5" w:rsidRPr="007D5972" w:rsidRDefault="006114A5">
      <w:pPr>
        <w:rPr>
          <w:highlight w:val="yellow"/>
        </w:rPr>
      </w:pPr>
    </w:p>
    <w:p w:rsidR="00E0754D" w:rsidRPr="007D5972" w:rsidRDefault="00E0754D" w:rsidP="00E0754D">
      <w:pPr>
        <w:spacing w:after="120" w:line="240" w:lineRule="auto"/>
        <w:rPr>
          <w:rFonts w:ascii="Georgia" w:hAnsi="Georgia"/>
          <w:sz w:val="24"/>
          <w:szCs w:val="24"/>
          <w:highlight w:val="yellow"/>
        </w:rPr>
      </w:pPr>
    </w:p>
    <w:p w:rsidR="006114A5" w:rsidRPr="007D5972" w:rsidRDefault="006114A5">
      <w:pPr>
        <w:rPr>
          <w:highlight w:val="yellow"/>
        </w:rPr>
      </w:pPr>
    </w:p>
    <w:p w:rsidR="006114A5" w:rsidRPr="007D5972" w:rsidRDefault="006114A5" w:rsidP="006114A5">
      <w:pPr>
        <w:spacing w:after="0" w:line="240" w:lineRule="auto"/>
        <w:rPr>
          <w:sz w:val="20"/>
          <w:szCs w:val="20"/>
          <w:highlight w:val="yellow"/>
        </w:rPr>
      </w:pPr>
    </w:p>
    <w:p w:rsidR="00E0754D" w:rsidRPr="007D5972" w:rsidRDefault="00E0754D" w:rsidP="00E0754D">
      <w:pPr>
        <w:spacing w:after="120" w:line="240" w:lineRule="auto"/>
        <w:rPr>
          <w:rFonts w:ascii="Georgia" w:hAnsi="Georgia"/>
          <w:sz w:val="24"/>
          <w:szCs w:val="24"/>
          <w:highlight w:val="yellow"/>
        </w:rPr>
      </w:pPr>
    </w:p>
    <w:p w:rsidR="006114A5" w:rsidRPr="00374BD0" w:rsidRDefault="006114A5" w:rsidP="005E127E">
      <w:pPr>
        <w:spacing w:after="0" w:line="240" w:lineRule="auto"/>
        <w:rPr>
          <w:rFonts w:ascii="Georgia" w:hAnsi="Georgia"/>
          <w:sz w:val="20"/>
          <w:szCs w:val="20"/>
          <w:highlight w:val="yellow"/>
        </w:rPr>
      </w:pPr>
    </w:p>
    <w:p w:rsidR="00912ECF" w:rsidRPr="0002422B" w:rsidRDefault="00B46AF0" w:rsidP="00032661">
      <w:pPr>
        <w:pStyle w:val="1"/>
        <w:spacing w:before="0" w:line="240" w:lineRule="auto"/>
        <w:rPr>
          <w:noProof/>
          <w:color w:val="00B050"/>
          <w:sz w:val="40"/>
        </w:rPr>
      </w:pPr>
      <w:bookmarkStart w:id="59" w:name="_Toc448145486"/>
      <w:r w:rsidRPr="0002422B">
        <w:rPr>
          <w:noProof/>
          <w:color w:val="00B050"/>
          <w:sz w:val="40"/>
        </w:rPr>
        <w:t>Информация об объеме использованных энергетических ресурсов</w:t>
      </w:r>
      <w:bookmarkEnd w:id="59"/>
    </w:p>
    <w:p w:rsidR="00E12B13" w:rsidRPr="00EE317B" w:rsidRDefault="00E12B13" w:rsidP="00E12B13">
      <w:pPr>
        <w:spacing w:after="0" w:line="240" w:lineRule="auto"/>
        <w:rPr>
          <w:sz w:val="20"/>
          <w:szCs w:val="20"/>
          <w:highlight w:val="yellow"/>
        </w:rPr>
      </w:pPr>
    </w:p>
    <w:tbl>
      <w:tblPr>
        <w:tblW w:w="8222" w:type="dxa"/>
        <w:tblInd w:w="108" w:type="dxa"/>
        <w:tblLook w:val="04A0" w:firstRow="1" w:lastRow="0" w:firstColumn="1" w:lastColumn="0" w:noHBand="0" w:noVBand="1"/>
      </w:tblPr>
      <w:tblGrid>
        <w:gridCol w:w="2279"/>
        <w:gridCol w:w="1832"/>
        <w:gridCol w:w="1559"/>
        <w:gridCol w:w="1701"/>
        <w:gridCol w:w="1176"/>
      </w:tblGrid>
      <w:tr w:rsidR="0002422B" w:rsidTr="00591470">
        <w:trPr>
          <w:trHeight w:val="270"/>
        </w:trPr>
        <w:tc>
          <w:tcPr>
            <w:tcW w:w="8222" w:type="dxa"/>
            <w:gridSpan w:val="5"/>
            <w:tcBorders>
              <w:top w:val="nil"/>
              <w:left w:val="nil"/>
              <w:bottom w:val="single" w:sz="8" w:space="0" w:color="95B3D7"/>
              <w:right w:val="nil"/>
            </w:tcBorders>
            <w:shd w:val="clear" w:color="000000" w:fill="B8CCE4"/>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Объем использованных ресурсов за 2015 год</w:t>
            </w:r>
          </w:p>
        </w:tc>
      </w:tr>
      <w:tr w:rsidR="00591470" w:rsidTr="00591470">
        <w:trPr>
          <w:trHeight w:val="525"/>
        </w:trPr>
        <w:tc>
          <w:tcPr>
            <w:tcW w:w="2279" w:type="dxa"/>
            <w:tcBorders>
              <w:top w:val="nil"/>
              <w:left w:val="nil"/>
              <w:bottom w:val="single" w:sz="8" w:space="0" w:color="95B3D7"/>
              <w:right w:val="nil"/>
            </w:tcBorders>
            <w:shd w:val="clear" w:color="000000" w:fill="DCE6F1"/>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Наименование</w:t>
            </w:r>
          </w:p>
        </w:tc>
        <w:tc>
          <w:tcPr>
            <w:tcW w:w="1832" w:type="dxa"/>
            <w:tcBorders>
              <w:top w:val="nil"/>
              <w:left w:val="nil"/>
              <w:bottom w:val="single" w:sz="8" w:space="0" w:color="95B3D7"/>
              <w:right w:val="nil"/>
            </w:tcBorders>
            <w:shd w:val="clear" w:color="000000" w:fill="DCE6F1"/>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Сумма без НДС, тыс. руб.</w:t>
            </w:r>
          </w:p>
        </w:tc>
        <w:tc>
          <w:tcPr>
            <w:tcW w:w="1559" w:type="dxa"/>
            <w:tcBorders>
              <w:top w:val="nil"/>
              <w:left w:val="nil"/>
              <w:bottom w:val="single" w:sz="8" w:space="0" w:color="95B3D7"/>
              <w:right w:val="nil"/>
            </w:tcBorders>
            <w:shd w:val="clear" w:color="000000" w:fill="DCE6F1"/>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НДС, тыс. руб.</w:t>
            </w:r>
          </w:p>
        </w:tc>
        <w:tc>
          <w:tcPr>
            <w:tcW w:w="1701" w:type="dxa"/>
            <w:tcBorders>
              <w:top w:val="nil"/>
              <w:left w:val="nil"/>
              <w:bottom w:val="single" w:sz="8" w:space="0" w:color="95B3D7"/>
              <w:right w:val="nil"/>
            </w:tcBorders>
            <w:shd w:val="clear" w:color="000000" w:fill="DCE6F1"/>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Общая сумма, тыс. руб.</w:t>
            </w:r>
          </w:p>
        </w:tc>
        <w:tc>
          <w:tcPr>
            <w:tcW w:w="851" w:type="dxa"/>
            <w:tcBorders>
              <w:top w:val="nil"/>
              <w:left w:val="nil"/>
              <w:bottom w:val="single" w:sz="8" w:space="0" w:color="95B3D7"/>
              <w:right w:val="nil"/>
            </w:tcBorders>
            <w:shd w:val="clear" w:color="000000" w:fill="DCE6F1"/>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Литры, тыс.</w:t>
            </w:r>
          </w:p>
        </w:tc>
      </w:tr>
      <w:tr w:rsidR="00591470" w:rsidTr="00591470">
        <w:trPr>
          <w:trHeight w:val="270"/>
        </w:trPr>
        <w:tc>
          <w:tcPr>
            <w:tcW w:w="227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электроэнергия</w:t>
            </w:r>
          </w:p>
        </w:tc>
        <w:tc>
          <w:tcPr>
            <w:tcW w:w="1832"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4 703,5</w:t>
            </w:r>
          </w:p>
        </w:tc>
        <w:tc>
          <w:tcPr>
            <w:tcW w:w="155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559,0</w:t>
            </w:r>
          </w:p>
        </w:tc>
        <w:tc>
          <w:tcPr>
            <w:tcW w:w="170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5 262,5</w:t>
            </w:r>
          </w:p>
        </w:tc>
        <w:tc>
          <w:tcPr>
            <w:tcW w:w="85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w:t>
            </w:r>
          </w:p>
        </w:tc>
      </w:tr>
      <w:tr w:rsidR="00591470" w:rsidTr="00591470">
        <w:trPr>
          <w:trHeight w:val="270"/>
        </w:trPr>
        <w:tc>
          <w:tcPr>
            <w:tcW w:w="227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теплоэнергия</w:t>
            </w:r>
          </w:p>
        </w:tc>
        <w:tc>
          <w:tcPr>
            <w:tcW w:w="1832"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1 517,5</w:t>
            </w:r>
          </w:p>
        </w:tc>
        <w:tc>
          <w:tcPr>
            <w:tcW w:w="155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126,9</w:t>
            </w:r>
          </w:p>
        </w:tc>
        <w:tc>
          <w:tcPr>
            <w:tcW w:w="170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1 644,4</w:t>
            </w:r>
          </w:p>
        </w:tc>
        <w:tc>
          <w:tcPr>
            <w:tcW w:w="85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w:t>
            </w:r>
          </w:p>
        </w:tc>
      </w:tr>
      <w:tr w:rsidR="00591470" w:rsidTr="00591470">
        <w:trPr>
          <w:trHeight w:val="270"/>
        </w:trPr>
        <w:tc>
          <w:tcPr>
            <w:tcW w:w="227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бензин</w:t>
            </w:r>
          </w:p>
        </w:tc>
        <w:tc>
          <w:tcPr>
            <w:tcW w:w="1832"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2 659,7</w:t>
            </w:r>
          </w:p>
        </w:tc>
        <w:tc>
          <w:tcPr>
            <w:tcW w:w="155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481,5</w:t>
            </w:r>
          </w:p>
        </w:tc>
        <w:tc>
          <w:tcPr>
            <w:tcW w:w="170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3 141,3</w:t>
            </w:r>
          </w:p>
        </w:tc>
        <w:tc>
          <w:tcPr>
            <w:tcW w:w="85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96,8</w:t>
            </w:r>
          </w:p>
        </w:tc>
      </w:tr>
      <w:tr w:rsidR="00591470" w:rsidTr="00591470">
        <w:trPr>
          <w:trHeight w:val="270"/>
        </w:trPr>
        <w:tc>
          <w:tcPr>
            <w:tcW w:w="227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ДТ</w:t>
            </w:r>
          </w:p>
        </w:tc>
        <w:tc>
          <w:tcPr>
            <w:tcW w:w="1832"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263,2</w:t>
            </w:r>
          </w:p>
        </w:tc>
        <w:tc>
          <w:tcPr>
            <w:tcW w:w="1559"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47,4</w:t>
            </w:r>
          </w:p>
        </w:tc>
        <w:tc>
          <w:tcPr>
            <w:tcW w:w="170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310,5</w:t>
            </w:r>
          </w:p>
        </w:tc>
        <w:tc>
          <w:tcPr>
            <w:tcW w:w="851" w:type="dxa"/>
            <w:tcBorders>
              <w:top w:val="nil"/>
              <w:left w:val="nil"/>
              <w:bottom w:val="single" w:sz="8" w:space="0" w:color="95B3D7"/>
              <w:right w:val="nil"/>
            </w:tcBorders>
            <w:shd w:val="clear" w:color="auto" w:fill="auto"/>
            <w:noWrap/>
            <w:vAlign w:val="center"/>
            <w:hideMark/>
          </w:tcPr>
          <w:p w:rsidR="0002422B" w:rsidRPr="00374BD0" w:rsidRDefault="0002422B" w:rsidP="00591470">
            <w:pPr>
              <w:spacing w:after="0" w:line="240" w:lineRule="auto"/>
              <w:jc w:val="center"/>
              <w:rPr>
                <w:rFonts w:ascii="Georgia" w:eastAsia="Times New Roman" w:hAnsi="Georgia" w:cs="Arial CYR"/>
                <w:bCs/>
                <w:color w:val="1F497D"/>
                <w:sz w:val="24"/>
                <w:szCs w:val="24"/>
              </w:rPr>
            </w:pPr>
            <w:r w:rsidRPr="00374BD0">
              <w:rPr>
                <w:rFonts w:ascii="Georgia" w:eastAsia="Times New Roman" w:hAnsi="Georgia" w:cs="Arial CYR"/>
                <w:bCs/>
                <w:color w:val="1F497D"/>
                <w:sz w:val="24"/>
                <w:szCs w:val="24"/>
              </w:rPr>
              <w:t>9,0</w:t>
            </w:r>
          </w:p>
        </w:tc>
      </w:tr>
      <w:tr w:rsidR="00591470" w:rsidTr="00591470">
        <w:trPr>
          <w:trHeight w:val="270"/>
        </w:trPr>
        <w:tc>
          <w:tcPr>
            <w:tcW w:w="2279" w:type="dxa"/>
            <w:tcBorders>
              <w:top w:val="nil"/>
              <w:left w:val="nil"/>
              <w:bottom w:val="single" w:sz="8" w:space="0" w:color="95B3D7"/>
              <w:right w:val="nil"/>
            </w:tcBorders>
            <w:shd w:val="clear" w:color="000000" w:fill="95B3D7"/>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Итого</w:t>
            </w:r>
          </w:p>
        </w:tc>
        <w:tc>
          <w:tcPr>
            <w:tcW w:w="1832" w:type="dxa"/>
            <w:tcBorders>
              <w:top w:val="nil"/>
              <w:left w:val="nil"/>
              <w:bottom w:val="single" w:sz="8" w:space="0" w:color="95B3D7"/>
              <w:right w:val="nil"/>
            </w:tcBorders>
            <w:shd w:val="clear" w:color="000000" w:fill="95B3D7"/>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9 143,9</w:t>
            </w:r>
          </w:p>
        </w:tc>
        <w:tc>
          <w:tcPr>
            <w:tcW w:w="1559" w:type="dxa"/>
            <w:tcBorders>
              <w:top w:val="nil"/>
              <w:left w:val="nil"/>
              <w:bottom w:val="single" w:sz="8" w:space="0" w:color="95B3D7"/>
              <w:right w:val="nil"/>
            </w:tcBorders>
            <w:shd w:val="clear" w:color="000000" w:fill="95B3D7"/>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1 214,8</w:t>
            </w:r>
          </w:p>
        </w:tc>
        <w:tc>
          <w:tcPr>
            <w:tcW w:w="1701" w:type="dxa"/>
            <w:tcBorders>
              <w:top w:val="nil"/>
              <w:left w:val="nil"/>
              <w:bottom w:val="single" w:sz="8" w:space="0" w:color="95B3D7"/>
              <w:right w:val="nil"/>
            </w:tcBorders>
            <w:shd w:val="clear" w:color="000000" w:fill="95B3D7"/>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10 358,7</w:t>
            </w:r>
          </w:p>
        </w:tc>
        <w:tc>
          <w:tcPr>
            <w:tcW w:w="851" w:type="dxa"/>
            <w:tcBorders>
              <w:top w:val="nil"/>
              <w:left w:val="nil"/>
              <w:bottom w:val="single" w:sz="8" w:space="0" w:color="95B3D7"/>
              <w:right w:val="nil"/>
            </w:tcBorders>
            <w:shd w:val="clear" w:color="000000" w:fill="95B3D7"/>
            <w:noWrap/>
            <w:vAlign w:val="center"/>
            <w:hideMark/>
          </w:tcPr>
          <w:p w:rsidR="0002422B" w:rsidRPr="00591470" w:rsidRDefault="0002422B" w:rsidP="00591470">
            <w:pPr>
              <w:spacing w:after="0" w:line="240" w:lineRule="auto"/>
              <w:jc w:val="center"/>
              <w:rPr>
                <w:rFonts w:ascii="Georgia" w:eastAsia="Times New Roman" w:hAnsi="Georgia" w:cs="Arial CYR"/>
                <w:b/>
                <w:bCs/>
                <w:color w:val="1F497D"/>
                <w:sz w:val="24"/>
                <w:szCs w:val="24"/>
              </w:rPr>
            </w:pPr>
            <w:r w:rsidRPr="00591470">
              <w:rPr>
                <w:rFonts w:ascii="Georgia" w:eastAsia="Times New Roman" w:hAnsi="Georgia" w:cs="Arial CYR"/>
                <w:b/>
                <w:bCs/>
                <w:color w:val="1F497D"/>
                <w:sz w:val="24"/>
                <w:szCs w:val="24"/>
              </w:rPr>
              <w:t>105,8</w:t>
            </w:r>
          </w:p>
        </w:tc>
      </w:tr>
    </w:tbl>
    <w:p w:rsidR="00E12B13" w:rsidRDefault="00E12B13" w:rsidP="00912ECF">
      <w:pPr>
        <w:rPr>
          <w:noProof/>
          <w:highlight w:val="yellow"/>
          <w:lang w:val="en-US"/>
        </w:rPr>
      </w:pPr>
    </w:p>
    <w:p w:rsidR="0002422B" w:rsidRPr="0002422B" w:rsidRDefault="0002422B" w:rsidP="0002422B">
      <w:pPr>
        <w:jc w:val="center"/>
        <w:rPr>
          <w:noProof/>
          <w:highlight w:val="yellow"/>
          <w:lang w:val="en-US"/>
        </w:rPr>
      </w:pPr>
      <w:r>
        <w:rPr>
          <w:noProof/>
        </w:rPr>
        <w:drawing>
          <wp:inline distT="0" distB="0" distL="0" distR="0" wp14:anchorId="38A7B9EE" wp14:editId="1594C07F">
            <wp:extent cx="4572000" cy="2238375"/>
            <wp:effectExtent l="0" t="0" r="0" b="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912ECF" w:rsidRPr="00EE317B" w:rsidRDefault="00912ECF" w:rsidP="00370411">
      <w:pPr>
        <w:jc w:val="center"/>
        <w:rPr>
          <w:rFonts w:asciiTheme="majorHAnsi" w:eastAsiaTheme="majorEastAsia" w:hAnsiTheme="majorHAnsi" w:cstheme="majorBidi"/>
          <w:noProof/>
          <w:szCs w:val="28"/>
          <w:highlight w:val="yellow"/>
        </w:rPr>
      </w:pPr>
    </w:p>
    <w:p w:rsidR="00173E4D" w:rsidRDefault="00370411" w:rsidP="00370411">
      <w:pPr>
        <w:spacing w:after="0" w:line="240" w:lineRule="auto"/>
        <w:jc w:val="center"/>
        <w:rPr>
          <w:rFonts w:ascii="Georgia" w:eastAsiaTheme="majorEastAsia" w:hAnsi="Georgia" w:cstheme="majorBidi"/>
          <w:b/>
          <w:bCs/>
          <w:noProof/>
          <w:sz w:val="24"/>
          <w:szCs w:val="24"/>
        </w:rPr>
      </w:pPr>
      <w:r w:rsidRPr="0002422B">
        <w:rPr>
          <w:rFonts w:ascii="Georgia" w:eastAsiaTheme="majorEastAsia" w:hAnsi="Georgia" w:cstheme="majorBidi"/>
          <w:b/>
          <w:bCs/>
          <w:noProof/>
          <w:sz w:val="24"/>
          <w:szCs w:val="24"/>
        </w:rPr>
        <w:t>Объем использованных ресурсов в 20</w:t>
      </w:r>
      <w:r w:rsidR="00501AEE" w:rsidRPr="0002422B">
        <w:rPr>
          <w:rFonts w:ascii="Georgia" w:eastAsiaTheme="majorEastAsia" w:hAnsi="Georgia" w:cstheme="majorBidi"/>
          <w:b/>
          <w:bCs/>
          <w:noProof/>
          <w:sz w:val="24"/>
          <w:szCs w:val="24"/>
        </w:rPr>
        <w:t>1</w:t>
      </w:r>
      <w:r w:rsidR="0002422B" w:rsidRPr="0002422B">
        <w:rPr>
          <w:rFonts w:ascii="Georgia" w:eastAsiaTheme="majorEastAsia" w:hAnsi="Georgia" w:cstheme="majorBidi"/>
          <w:b/>
          <w:bCs/>
          <w:noProof/>
          <w:sz w:val="24"/>
          <w:szCs w:val="24"/>
        </w:rPr>
        <w:t>3</w:t>
      </w:r>
      <w:r w:rsidRPr="0002422B">
        <w:rPr>
          <w:rFonts w:ascii="Georgia" w:eastAsiaTheme="majorEastAsia" w:hAnsi="Georgia" w:cstheme="majorBidi"/>
          <w:b/>
          <w:bCs/>
          <w:noProof/>
          <w:sz w:val="24"/>
          <w:szCs w:val="24"/>
        </w:rPr>
        <w:t>-201</w:t>
      </w:r>
      <w:r w:rsidR="0002422B" w:rsidRPr="0002422B">
        <w:rPr>
          <w:rFonts w:ascii="Georgia" w:eastAsiaTheme="majorEastAsia" w:hAnsi="Georgia" w:cstheme="majorBidi"/>
          <w:b/>
          <w:bCs/>
          <w:noProof/>
          <w:sz w:val="24"/>
          <w:szCs w:val="24"/>
        </w:rPr>
        <w:t xml:space="preserve">5 </w:t>
      </w:r>
      <w:r w:rsidRPr="0002422B">
        <w:rPr>
          <w:rFonts w:ascii="Georgia" w:eastAsiaTheme="majorEastAsia" w:hAnsi="Georgia" w:cstheme="majorBidi"/>
          <w:b/>
          <w:bCs/>
          <w:noProof/>
          <w:sz w:val="24"/>
          <w:szCs w:val="24"/>
        </w:rPr>
        <w:t>г</w:t>
      </w:r>
      <w:r w:rsidR="00AC2FFC" w:rsidRPr="0002422B">
        <w:rPr>
          <w:rFonts w:ascii="Georgia" w:eastAsiaTheme="majorEastAsia" w:hAnsi="Georgia" w:cstheme="majorBidi"/>
          <w:b/>
          <w:bCs/>
          <w:noProof/>
          <w:sz w:val="24"/>
          <w:szCs w:val="24"/>
        </w:rPr>
        <w:t>одах</w:t>
      </w:r>
      <w:r w:rsidR="00E836E9" w:rsidRPr="0002422B">
        <w:rPr>
          <w:rFonts w:ascii="Georgia" w:eastAsiaTheme="majorEastAsia" w:hAnsi="Georgia" w:cstheme="majorBidi"/>
          <w:b/>
          <w:bCs/>
          <w:noProof/>
          <w:sz w:val="24"/>
          <w:szCs w:val="24"/>
        </w:rPr>
        <w:t>, млн. руб.</w:t>
      </w:r>
    </w:p>
    <w:p w:rsidR="00173E4D" w:rsidRDefault="00173E4D">
      <w:pPr>
        <w:rPr>
          <w:rFonts w:ascii="Georgia" w:eastAsiaTheme="majorEastAsia" w:hAnsi="Georgia" w:cstheme="majorBidi"/>
          <w:b/>
          <w:bCs/>
          <w:noProof/>
          <w:sz w:val="24"/>
          <w:szCs w:val="24"/>
        </w:rPr>
      </w:pPr>
      <w:r>
        <w:rPr>
          <w:rFonts w:ascii="Georgia" w:eastAsiaTheme="majorEastAsia" w:hAnsi="Georgia" w:cstheme="majorBidi"/>
          <w:b/>
          <w:bCs/>
          <w:noProof/>
          <w:sz w:val="24"/>
          <w:szCs w:val="24"/>
        </w:rPr>
        <w:br w:type="page"/>
      </w:r>
    </w:p>
    <w:p w:rsidR="006F66D8" w:rsidRPr="007B0E29" w:rsidRDefault="006F66D8" w:rsidP="006F66D8">
      <w:pPr>
        <w:pStyle w:val="1"/>
        <w:spacing w:before="0" w:line="240" w:lineRule="auto"/>
        <w:rPr>
          <w:noProof/>
          <w:color w:val="00B050"/>
          <w:sz w:val="20"/>
          <w:szCs w:val="20"/>
        </w:rPr>
      </w:pPr>
    </w:p>
    <w:p w:rsidR="006F66D8" w:rsidRPr="005E080F" w:rsidRDefault="006F66D8" w:rsidP="006F66D8">
      <w:pPr>
        <w:pStyle w:val="1"/>
        <w:spacing w:before="0" w:line="240" w:lineRule="auto"/>
        <w:rPr>
          <w:noProof/>
          <w:color w:val="00B050"/>
          <w:sz w:val="40"/>
        </w:rPr>
      </w:pPr>
      <w:bookmarkStart w:id="60" w:name="_Toc448145487"/>
      <w:r w:rsidRPr="005E080F">
        <w:rPr>
          <w:noProof/>
          <w:color w:val="00B050"/>
          <w:sz w:val="40"/>
        </w:rPr>
        <w:t>Аудиторское заключение</w:t>
      </w:r>
      <w:bookmarkEnd w:id="60"/>
    </w:p>
    <w:p w:rsidR="00355B0F" w:rsidRPr="005E080F" w:rsidRDefault="00355B0F" w:rsidP="00355B0F">
      <w:pPr>
        <w:pStyle w:val="1"/>
        <w:spacing w:before="0" w:line="240" w:lineRule="auto"/>
        <w:rPr>
          <w:noProof/>
          <w:color w:val="00B050"/>
          <w:sz w:val="20"/>
          <w:szCs w:val="20"/>
        </w:rPr>
      </w:pPr>
    </w:p>
    <w:p w:rsidR="00355B0F" w:rsidRPr="005E080F" w:rsidRDefault="00355B0F" w:rsidP="006F66D8">
      <w:pPr>
        <w:spacing w:after="0" w:line="240" w:lineRule="auto"/>
        <w:rPr>
          <w:rFonts w:ascii="Georgia" w:hAnsi="Georgia"/>
          <w:b/>
          <w:i/>
          <w:color w:val="365F91" w:themeColor="accent1" w:themeShade="BF"/>
          <w:sz w:val="28"/>
          <w:szCs w:val="24"/>
        </w:rPr>
      </w:pPr>
      <w:r w:rsidRPr="005E080F">
        <w:rPr>
          <w:rFonts w:ascii="Georgia" w:hAnsi="Georgia"/>
          <w:b/>
          <w:i/>
          <w:color w:val="365F91" w:themeColor="accent1" w:themeShade="BF"/>
          <w:sz w:val="28"/>
          <w:szCs w:val="24"/>
        </w:rPr>
        <w:t xml:space="preserve">о годовой бухгалтерской отчетности </w:t>
      </w:r>
    </w:p>
    <w:p w:rsidR="006F66D8" w:rsidRPr="005E080F" w:rsidRDefault="005E080F" w:rsidP="006F66D8">
      <w:pPr>
        <w:spacing w:after="0" w:line="240" w:lineRule="auto"/>
        <w:rPr>
          <w:rFonts w:ascii="Georgia" w:hAnsi="Georgia"/>
          <w:b/>
          <w:i/>
          <w:color w:val="365F91" w:themeColor="accent1" w:themeShade="BF"/>
          <w:sz w:val="28"/>
          <w:szCs w:val="24"/>
        </w:rPr>
      </w:pPr>
      <w:r w:rsidRPr="005E080F">
        <w:rPr>
          <w:rFonts w:ascii="Georgia" w:hAnsi="Georgia"/>
          <w:b/>
          <w:i/>
          <w:color w:val="365F91" w:themeColor="accent1" w:themeShade="BF"/>
          <w:sz w:val="28"/>
          <w:szCs w:val="24"/>
        </w:rPr>
        <w:t>П</w:t>
      </w:r>
      <w:r w:rsidR="00355B0F" w:rsidRPr="005E080F">
        <w:rPr>
          <w:rFonts w:ascii="Georgia" w:hAnsi="Georgia"/>
          <w:b/>
          <w:i/>
          <w:color w:val="365F91" w:themeColor="accent1" w:themeShade="BF"/>
          <w:sz w:val="28"/>
          <w:szCs w:val="24"/>
        </w:rPr>
        <w:t>АО «ИнтехБанк» за 201</w:t>
      </w:r>
      <w:r w:rsidRPr="005E080F">
        <w:rPr>
          <w:rFonts w:ascii="Georgia" w:hAnsi="Georgia"/>
          <w:b/>
          <w:i/>
          <w:color w:val="365F91" w:themeColor="accent1" w:themeShade="BF"/>
          <w:sz w:val="28"/>
          <w:szCs w:val="24"/>
        </w:rPr>
        <w:t>5</w:t>
      </w:r>
      <w:r w:rsidR="00355B0F" w:rsidRPr="005E080F">
        <w:rPr>
          <w:rFonts w:ascii="Georgia" w:hAnsi="Georgia"/>
          <w:b/>
          <w:i/>
          <w:color w:val="365F91" w:themeColor="accent1" w:themeShade="BF"/>
          <w:sz w:val="28"/>
          <w:szCs w:val="24"/>
        </w:rPr>
        <w:t xml:space="preserve"> год</w:t>
      </w:r>
    </w:p>
    <w:p w:rsidR="00355B0F" w:rsidRPr="005E080F" w:rsidRDefault="00355B0F" w:rsidP="006F66D8">
      <w:pPr>
        <w:spacing w:after="0" w:line="240" w:lineRule="auto"/>
        <w:rPr>
          <w:rFonts w:ascii="Georgia" w:hAnsi="Georgia"/>
          <w:b/>
          <w:i/>
          <w:color w:val="365F91" w:themeColor="accent1" w:themeShade="BF"/>
          <w:sz w:val="12"/>
          <w:szCs w:val="12"/>
        </w:rPr>
      </w:pPr>
    </w:p>
    <w:p w:rsidR="001462CB" w:rsidRPr="005E080F" w:rsidRDefault="00355B0F" w:rsidP="00F85653">
      <w:pPr>
        <w:spacing w:after="120" w:line="240" w:lineRule="auto"/>
        <w:jc w:val="both"/>
        <w:rPr>
          <w:rFonts w:ascii="Georgia" w:hAnsi="Georgia"/>
          <w:sz w:val="24"/>
          <w:szCs w:val="24"/>
        </w:rPr>
      </w:pPr>
      <w:r w:rsidRPr="005E080F">
        <w:rPr>
          <w:rFonts w:ascii="Georgia" w:hAnsi="Georgia"/>
          <w:sz w:val="24"/>
          <w:szCs w:val="24"/>
        </w:rPr>
        <w:t>Мы провели аудит годовой бухгалтерской (финансовой) отчетности ОАО «ИнтехБанк», состоящей из:</w:t>
      </w:r>
    </w:p>
    <w:p w:rsidR="001462CB" w:rsidRPr="005E080F" w:rsidRDefault="00355B0F" w:rsidP="00F85653">
      <w:pPr>
        <w:pStyle w:val="ae"/>
        <w:numPr>
          <w:ilvl w:val="0"/>
          <w:numId w:val="12"/>
        </w:numPr>
        <w:tabs>
          <w:tab w:val="left" w:pos="284"/>
        </w:tabs>
        <w:spacing w:after="120" w:line="240" w:lineRule="auto"/>
        <w:ind w:left="0" w:firstLine="0"/>
        <w:contextualSpacing w:val="0"/>
        <w:jc w:val="both"/>
        <w:rPr>
          <w:rFonts w:ascii="Georgia" w:hAnsi="Georgia"/>
          <w:sz w:val="24"/>
          <w:szCs w:val="24"/>
        </w:rPr>
      </w:pPr>
      <w:r w:rsidRPr="005E080F">
        <w:rPr>
          <w:rFonts w:ascii="Georgia" w:hAnsi="Georgia"/>
          <w:sz w:val="24"/>
          <w:szCs w:val="24"/>
        </w:rPr>
        <w:t>Бухгалтерского баланса (публикуемая форма) на 1 января 201</w:t>
      </w:r>
      <w:r w:rsidR="005E080F" w:rsidRPr="005E080F">
        <w:rPr>
          <w:rFonts w:ascii="Georgia" w:hAnsi="Georgia"/>
          <w:sz w:val="24"/>
          <w:szCs w:val="24"/>
        </w:rPr>
        <w:t>6</w:t>
      </w:r>
      <w:r w:rsidRPr="005E080F">
        <w:rPr>
          <w:rFonts w:ascii="Georgia" w:hAnsi="Georgia"/>
          <w:sz w:val="24"/>
          <w:szCs w:val="24"/>
        </w:rPr>
        <w:t xml:space="preserve"> года;</w:t>
      </w:r>
    </w:p>
    <w:p w:rsidR="001462CB" w:rsidRPr="005E080F" w:rsidRDefault="003414EE" w:rsidP="00F85653">
      <w:pPr>
        <w:pStyle w:val="ae"/>
        <w:numPr>
          <w:ilvl w:val="0"/>
          <w:numId w:val="12"/>
        </w:numPr>
        <w:tabs>
          <w:tab w:val="left" w:pos="284"/>
        </w:tabs>
        <w:spacing w:after="120" w:line="240" w:lineRule="auto"/>
        <w:ind w:left="0" w:firstLine="0"/>
        <w:contextualSpacing w:val="0"/>
        <w:jc w:val="both"/>
        <w:rPr>
          <w:rFonts w:ascii="Georgia" w:hAnsi="Georgia"/>
          <w:sz w:val="24"/>
          <w:szCs w:val="24"/>
        </w:rPr>
      </w:pPr>
      <w:r w:rsidRPr="005E080F">
        <w:rPr>
          <w:rFonts w:ascii="Georgia" w:hAnsi="Georgia"/>
          <w:sz w:val="24"/>
          <w:szCs w:val="24"/>
        </w:rPr>
        <w:t>Отчета о финансовых результатах (публикуемая форма) за 201</w:t>
      </w:r>
      <w:r w:rsidR="005E080F" w:rsidRPr="005E080F">
        <w:rPr>
          <w:rFonts w:ascii="Georgia" w:hAnsi="Georgia"/>
          <w:sz w:val="24"/>
          <w:szCs w:val="24"/>
        </w:rPr>
        <w:t>5</w:t>
      </w:r>
      <w:r w:rsidRPr="005E080F">
        <w:rPr>
          <w:rFonts w:ascii="Georgia" w:hAnsi="Georgia"/>
          <w:sz w:val="24"/>
          <w:szCs w:val="24"/>
        </w:rPr>
        <w:t xml:space="preserve"> год;</w:t>
      </w:r>
    </w:p>
    <w:p w:rsidR="003414EE" w:rsidRPr="005E080F" w:rsidRDefault="003414EE" w:rsidP="00F85653">
      <w:pPr>
        <w:pStyle w:val="ae"/>
        <w:numPr>
          <w:ilvl w:val="0"/>
          <w:numId w:val="12"/>
        </w:numPr>
        <w:tabs>
          <w:tab w:val="left" w:pos="284"/>
        </w:tabs>
        <w:spacing w:after="120" w:line="240" w:lineRule="auto"/>
        <w:ind w:left="0" w:firstLine="0"/>
        <w:contextualSpacing w:val="0"/>
        <w:jc w:val="both"/>
        <w:rPr>
          <w:rFonts w:ascii="Georgia" w:hAnsi="Georgia"/>
          <w:sz w:val="24"/>
          <w:szCs w:val="24"/>
        </w:rPr>
      </w:pPr>
      <w:r w:rsidRPr="005E080F">
        <w:rPr>
          <w:rFonts w:ascii="Georgia" w:hAnsi="Georgia"/>
          <w:sz w:val="24"/>
          <w:szCs w:val="24"/>
        </w:rPr>
        <w:t>Приложений к бухгалтерскому балансу и отчету о финансовых результатах:</w:t>
      </w:r>
    </w:p>
    <w:p w:rsidR="003414EE" w:rsidRPr="005E080F" w:rsidRDefault="003414EE" w:rsidP="00F85653">
      <w:pPr>
        <w:tabs>
          <w:tab w:val="left" w:pos="284"/>
        </w:tabs>
        <w:spacing w:after="120" w:line="240" w:lineRule="auto"/>
        <w:jc w:val="both"/>
        <w:rPr>
          <w:rFonts w:ascii="Georgia" w:hAnsi="Georgia"/>
          <w:sz w:val="24"/>
          <w:szCs w:val="24"/>
        </w:rPr>
      </w:pPr>
      <w:r w:rsidRPr="005E080F">
        <w:rPr>
          <w:rFonts w:ascii="Georgia" w:hAnsi="Georgia"/>
          <w:sz w:val="24"/>
          <w:szCs w:val="24"/>
        </w:rPr>
        <w:t>- отчета об уровне достаточности капитала для покрытия рисков, величине резервов на покрытие сомнительных ссуд и иных активов (публикуемая форма) по состоянию на 1 января 201</w:t>
      </w:r>
      <w:r w:rsidR="005E080F" w:rsidRPr="005E080F">
        <w:rPr>
          <w:rFonts w:ascii="Georgia" w:hAnsi="Georgia"/>
          <w:sz w:val="24"/>
          <w:szCs w:val="24"/>
        </w:rPr>
        <w:t xml:space="preserve">6 </w:t>
      </w:r>
      <w:r w:rsidRPr="005E080F">
        <w:rPr>
          <w:rFonts w:ascii="Georgia" w:hAnsi="Georgia"/>
          <w:sz w:val="24"/>
          <w:szCs w:val="24"/>
        </w:rPr>
        <w:t>года;</w:t>
      </w:r>
    </w:p>
    <w:p w:rsidR="003414EE" w:rsidRPr="005E080F" w:rsidRDefault="003414EE" w:rsidP="00F85653">
      <w:pPr>
        <w:spacing w:after="120" w:line="240" w:lineRule="auto"/>
        <w:jc w:val="both"/>
        <w:rPr>
          <w:rFonts w:ascii="Georgia" w:hAnsi="Georgia"/>
          <w:sz w:val="24"/>
          <w:szCs w:val="24"/>
        </w:rPr>
      </w:pPr>
      <w:r w:rsidRPr="005E080F">
        <w:rPr>
          <w:rFonts w:ascii="Georgia" w:hAnsi="Georgia"/>
          <w:sz w:val="24"/>
          <w:szCs w:val="24"/>
        </w:rPr>
        <w:t>- сведений об обязательных нормативах (публикуемая форма) на 1 января 201</w:t>
      </w:r>
      <w:r w:rsidR="005E080F" w:rsidRPr="005E080F">
        <w:rPr>
          <w:rFonts w:ascii="Georgia" w:hAnsi="Georgia"/>
          <w:sz w:val="24"/>
          <w:szCs w:val="24"/>
        </w:rPr>
        <w:t>6</w:t>
      </w:r>
      <w:r w:rsidRPr="005E080F">
        <w:rPr>
          <w:rFonts w:ascii="Georgia" w:hAnsi="Georgia"/>
          <w:sz w:val="24"/>
          <w:szCs w:val="24"/>
        </w:rPr>
        <w:t xml:space="preserve"> года;</w:t>
      </w:r>
    </w:p>
    <w:p w:rsidR="003414EE" w:rsidRPr="005E080F" w:rsidRDefault="00577B2E" w:rsidP="00F85653">
      <w:pPr>
        <w:spacing w:after="120" w:line="240" w:lineRule="auto"/>
        <w:jc w:val="both"/>
        <w:rPr>
          <w:rFonts w:ascii="Georgia" w:hAnsi="Georgia"/>
          <w:sz w:val="24"/>
          <w:szCs w:val="24"/>
        </w:rPr>
      </w:pPr>
      <w:r w:rsidRPr="005E080F">
        <w:rPr>
          <w:rFonts w:ascii="Georgia" w:hAnsi="Georgia"/>
          <w:sz w:val="24"/>
          <w:szCs w:val="24"/>
        </w:rPr>
        <w:t>- отчета о движении денежных средств (публикуемая форма) на 1 января 201</w:t>
      </w:r>
      <w:r w:rsidR="005E080F" w:rsidRPr="005E080F">
        <w:rPr>
          <w:rFonts w:ascii="Georgia" w:hAnsi="Georgia"/>
          <w:sz w:val="24"/>
          <w:szCs w:val="24"/>
        </w:rPr>
        <w:t>6</w:t>
      </w:r>
      <w:r w:rsidRPr="005E080F">
        <w:rPr>
          <w:rFonts w:ascii="Georgia" w:hAnsi="Georgia"/>
          <w:sz w:val="24"/>
          <w:szCs w:val="24"/>
        </w:rPr>
        <w:t xml:space="preserve"> года;</w:t>
      </w:r>
    </w:p>
    <w:p w:rsidR="003414EE" w:rsidRPr="005E080F" w:rsidRDefault="003414EE" w:rsidP="00F85653">
      <w:pPr>
        <w:pStyle w:val="ae"/>
        <w:numPr>
          <w:ilvl w:val="0"/>
          <w:numId w:val="13"/>
        </w:numPr>
        <w:tabs>
          <w:tab w:val="left" w:pos="284"/>
        </w:tabs>
        <w:spacing w:after="120" w:line="240" w:lineRule="auto"/>
        <w:ind w:left="0" w:firstLine="0"/>
        <w:jc w:val="both"/>
        <w:rPr>
          <w:rFonts w:ascii="Georgia" w:hAnsi="Georgia"/>
          <w:sz w:val="24"/>
          <w:szCs w:val="24"/>
        </w:rPr>
      </w:pPr>
      <w:r w:rsidRPr="005E080F">
        <w:rPr>
          <w:rFonts w:ascii="Georgia" w:hAnsi="Georgia"/>
          <w:sz w:val="24"/>
          <w:szCs w:val="24"/>
        </w:rPr>
        <w:t>Пояснительной информации к годовой отчетности.</w:t>
      </w:r>
    </w:p>
    <w:p w:rsidR="003414EE" w:rsidRPr="00A76822" w:rsidRDefault="003414EE" w:rsidP="00F85653">
      <w:pPr>
        <w:spacing w:after="120" w:line="240" w:lineRule="auto"/>
        <w:jc w:val="both"/>
        <w:rPr>
          <w:rFonts w:ascii="Georgia" w:hAnsi="Georgia"/>
          <w:b/>
          <w:sz w:val="24"/>
          <w:szCs w:val="24"/>
        </w:rPr>
      </w:pPr>
      <w:r w:rsidRPr="00A76822">
        <w:rPr>
          <w:rFonts w:ascii="Georgia" w:hAnsi="Georgia"/>
          <w:b/>
          <w:sz w:val="24"/>
          <w:szCs w:val="24"/>
        </w:rPr>
        <w:t>Ответственно</w:t>
      </w:r>
      <w:r w:rsidR="001462CB" w:rsidRPr="00A76822">
        <w:rPr>
          <w:rFonts w:ascii="Georgia" w:hAnsi="Georgia"/>
          <w:b/>
          <w:sz w:val="24"/>
          <w:szCs w:val="24"/>
        </w:rPr>
        <w:t>сть</w:t>
      </w:r>
      <w:r w:rsidR="005E080F" w:rsidRPr="00A76822">
        <w:rPr>
          <w:rFonts w:ascii="Georgia" w:hAnsi="Georgia"/>
          <w:b/>
          <w:sz w:val="24"/>
          <w:szCs w:val="24"/>
        </w:rPr>
        <w:t xml:space="preserve"> руководства Банка</w:t>
      </w:r>
      <w:r w:rsidRPr="00A76822">
        <w:rPr>
          <w:rFonts w:ascii="Georgia" w:hAnsi="Georgia"/>
          <w:b/>
          <w:sz w:val="24"/>
          <w:szCs w:val="24"/>
        </w:rPr>
        <w:t xml:space="preserve"> за годовую бухгалтерскую (финансов</w:t>
      </w:r>
      <w:r w:rsidR="001462CB" w:rsidRPr="00A76822">
        <w:rPr>
          <w:rFonts w:ascii="Georgia" w:hAnsi="Georgia"/>
          <w:b/>
          <w:sz w:val="24"/>
          <w:szCs w:val="24"/>
        </w:rPr>
        <w:t>у</w:t>
      </w:r>
      <w:r w:rsidRPr="00A76822">
        <w:rPr>
          <w:rFonts w:ascii="Georgia" w:hAnsi="Georgia"/>
          <w:b/>
          <w:sz w:val="24"/>
          <w:szCs w:val="24"/>
        </w:rPr>
        <w:t>ю) отчетность</w:t>
      </w:r>
    </w:p>
    <w:p w:rsidR="003414EE" w:rsidRPr="00A76822" w:rsidRDefault="003414EE" w:rsidP="00F85653">
      <w:pPr>
        <w:spacing w:after="120" w:line="240" w:lineRule="auto"/>
        <w:jc w:val="both"/>
        <w:rPr>
          <w:rFonts w:ascii="Georgia" w:hAnsi="Georgia"/>
          <w:sz w:val="24"/>
          <w:szCs w:val="24"/>
        </w:rPr>
      </w:pPr>
      <w:r w:rsidRPr="00A76822">
        <w:rPr>
          <w:rFonts w:ascii="Georgia" w:hAnsi="Georgia"/>
          <w:sz w:val="24"/>
          <w:szCs w:val="24"/>
        </w:rPr>
        <w:t xml:space="preserve">Руководство </w:t>
      </w:r>
      <w:r w:rsidR="00A76822" w:rsidRPr="00A76822">
        <w:rPr>
          <w:rFonts w:ascii="Georgia" w:hAnsi="Georgia"/>
          <w:sz w:val="24"/>
          <w:szCs w:val="24"/>
        </w:rPr>
        <w:t>Банка</w:t>
      </w:r>
      <w:r w:rsidRPr="00A76822">
        <w:rPr>
          <w:rFonts w:ascii="Georgia" w:hAnsi="Georgia"/>
          <w:sz w:val="24"/>
          <w:szCs w:val="24"/>
        </w:rPr>
        <w:t xml:space="preserve"> несет ответственность за составление и достоверность указанной годовой бухгалтерской (финансовой) отчетности </w:t>
      </w:r>
      <w:r w:rsidR="009B34B2">
        <w:rPr>
          <w:rFonts w:ascii="Georgia" w:hAnsi="Georgia"/>
          <w:sz w:val="24"/>
          <w:szCs w:val="24"/>
        </w:rPr>
        <w:t xml:space="preserve">в соответствии с </w:t>
      </w:r>
      <w:r w:rsidR="00A76822" w:rsidRPr="00A76822">
        <w:rPr>
          <w:rFonts w:ascii="Georgia" w:hAnsi="Georgia"/>
          <w:sz w:val="24"/>
          <w:szCs w:val="24"/>
        </w:rPr>
        <w:t xml:space="preserve">установленными </w:t>
      </w:r>
      <w:r w:rsidRPr="00A76822">
        <w:rPr>
          <w:rFonts w:ascii="Georgia" w:hAnsi="Georgia"/>
          <w:sz w:val="24"/>
          <w:szCs w:val="24"/>
        </w:rPr>
        <w:t>правилами составления годовой бухгалтерской (финансовой) отчетности</w:t>
      </w:r>
      <w:r w:rsidR="00A76822" w:rsidRPr="00A76822">
        <w:rPr>
          <w:rFonts w:ascii="Georgia" w:hAnsi="Georgia"/>
          <w:sz w:val="24"/>
          <w:szCs w:val="24"/>
        </w:rPr>
        <w:t xml:space="preserve"> кредитными организациями в Российской Федерации</w:t>
      </w:r>
      <w:r w:rsidRPr="00A76822">
        <w:rPr>
          <w:rFonts w:ascii="Georgia" w:hAnsi="Georgia"/>
          <w:sz w:val="24"/>
          <w:szCs w:val="24"/>
        </w:rPr>
        <w:t xml:space="preserve">, а также за систему внутреннего контроля, необходимую для составления годовой </w:t>
      </w:r>
      <w:r w:rsidR="001462CB" w:rsidRPr="00A76822">
        <w:rPr>
          <w:rFonts w:ascii="Georgia" w:hAnsi="Georgia"/>
          <w:sz w:val="24"/>
          <w:szCs w:val="24"/>
        </w:rPr>
        <w:t>бухгалтерской</w:t>
      </w:r>
      <w:r w:rsidRPr="00A76822">
        <w:rPr>
          <w:rFonts w:ascii="Georgia" w:hAnsi="Georgia"/>
          <w:sz w:val="24"/>
          <w:szCs w:val="24"/>
        </w:rPr>
        <w:t xml:space="preserve"> (финансовой) отчетности, не содержащей </w:t>
      </w:r>
      <w:r w:rsidR="001462CB" w:rsidRPr="00A76822">
        <w:rPr>
          <w:rFonts w:ascii="Georgia" w:hAnsi="Georgia"/>
          <w:sz w:val="24"/>
          <w:szCs w:val="24"/>
        </w:rPr>
        <w:t>существенных</w:t>
      </w:r>
      <w:r w:rsidRPr="00A76822">
        <w:rPr>
          <w:rFonts w:ascii="Georgia" w:hAnsi="Georgia"/>
          <w:sz w:val="24"/>
          <w:szCs w:val="24"/>
        </w:rPr>
        <w:t xml:space="preserve"> искажений вследствие недобросовестных действий или ошибок.</w:t>
      </w:r>
    </w:p>
    <w:p w:rsidR="003414EE" w:rsidRPr="00A76822" w:rsidRDefault="001462CB" w:rsidP="00F85653">
      <w:pPr>
        <w:spacing w:after="120" w:line="240" w:lineRule="auto"/>
        <w:jc w:val="both"/>
        <w:rPr>
          <w:rFonts w:ascii="Georgia" w:hAnsi="Georgia"/>
          <w:b/>
          <w:sz w:val="24"/>
          <w:szCs w:val="24"/>
        </w:rPr>
      </w:pPr>
      <w:r w:rsidRPr="00A76822">
        <w:rPr>
          <w:rFonts w:ascii="Georgia" w:hAnsi="Georgia"/>
          <w:b/>
          <w:sz w:val="24"/>
          <w:szCs w:val="24"/>
        </w:rPr>
        <w:t>Ответственность аудитора</w:t>
      </w:r>
    </w:p>
    <w:p w:rsidR="001462CB" w:rsidRPr="00A76822" w:rsidRDefault="001462CB" w:rsidP="00F85653">
      <w:pPr>
        <w:spacing w:after="120" w:line="240" w:lineRule="auto"/>
        <w:jc w:val="both"/>
        <w:rPr>
          <w:rFonts w:ascii="Georgia" w:hAnsi="Georgia"/>
          <w:sz w:val="24"/>
          <w:szCs w:val="24"/>
        </w:rPr>
      </w:pPr>
      <w:r w:rsidRPr="00A76822">
        <w:rPr>
          <w:rFonts w:ascii="Georgia" w:hAnsi="Georgia"/>
          <w:sz w:val="24"/>
          <w:szCs w:val="24"/>
        </w:rPr>
        <w:t xml:space="preserve">Наша ответственность заключается в выражении мнения о достоверности годовой бухгалтерской (финансовой) отчетности </w:t>
      </w:r>
      <w:r w:rsidR="00A76822" w:rsidRPr="00A76822">
        <w:rPr>
          <w:rFonts w:ascii="Georgia" w:hAnsi="Georgia"/>
          <w:sz w:val="24"/>
          <w:szCs w:val="24"/>
        </w:rPr>
        <w:t xml:space="preserve">во всех существенных отношениях </w:t>
      </w:r>
      <w:r w:rsidRPr="00A76822">
        <w:rPr>
          <w:rFonts w:ascii="Georgia" w:hAnsi="Georgia"/>
          <w:sz w:val="24"/>
          <w:szCs w:val="24"/>
        </w:rPr>
        <w:t>на о</w:t>
      </w:r>
      <w:r w:rsidR="00A76822" w:rsidRPr="00A76822">
        <w:rPr>
          <w:rFonts w:ascii="Georgia" w:hAnsi="Georgia"/>
          <w:sz w:val="24"/>
          <w:szCs w:val="24"/>
        </w:rPr>
        <w:t xml:space="preserve">снове проведенного нами аудита. </w:t>
      </w:r>
      <w:r w:rsidRPr="00A76822">
        <w:rPr>
          <w:rFonts w:ascii="Georgia" w:hAnsi="Georgia"/>
          <w:sz w:val="24"/>
          <w:szCs w:val="24"/>
        </w:rPr>
        <w:t>Мы проводили аудит в соответствии с федеральными стандартами аудиторской деятельности</w:t>
      </w:r>
      <w:r w:rsidR="009B34B2">
        <w:rPr>
          <w:rFonts w:ascii="Georgia" w:hAnsi="Georgia"/>
          <w:sz w:val="24"/>
          <w:szCs w:val="24"/>
        </w:rPr>
        <w:t xml:space="preserve">. </w:t>
      </w:r>
      <w:r w:rsidRPr="00A76822">
        <w:rPr>
          <w:rFonts w:ascii="Georgia" w:hAnsi="Georgia"/>
          <w:sz w:val="24"/>
          <w:szCs w:val="24"/>
        </w:rPr>
        <w:t>Данные стандарты требуют соблюдения применимых этических норм, а также планирования и проведения аудита таким образом, чтобы получить достаточную уверенность в том, что годовая бухгалтерская (финансовая) отчетность не содержит существенных искажений.</w:t>
      </w:r>
    </w:p>
    <w:p w:rsidR="001462CB" w:rsidRPr="00EB0F99" w:rsidRDefault="001462CB" w:rsidP="00F85653">
      <w:pPr>
        <w:spacing w:after="120" w:line="240" w:lineRule="auto"/>
        <w:jc w:val="both"/>
        <w:rPr>
          <w:rFonts w:ascii="Georgia" w:hAnsi="Georgia"/>
          <w:sz w:val="24"/>
          <w:szCs w:val="24"/>
        </w:rPr>
      </w:pPr>
      <w:r w:rsidRPr="00EB0F99">
        <w:rPr>
          <w:rFonts w:ascii="Georgia" w:hAnsi="Georgia"/>
          <w:sz w:val="24"/>
          <w:szCs w:val="24"/>
        </w:rPr>
        <w:t>Аудит включал проведение аудиторских процедур, направленных на получение аудиторских доказательств, подтверждающих числовые показатели в годовой бухгалтерской (финансовой) отчетност</w:t>
      </w:r>
      <w:r w:rsidR="00A76822" w:rsidRPr="00EB0F99">
        <w:rPr>
          <w:rFonts w:ascii="Georgia" w:hAnsi="Georgia"/>
          <w:sz w:val="24"/>
          <w:szCs w:val="24"/>
        </w:rPr>
        <w:t xml:space="preserve">и и раскрытие в ней информации. </w:t>
      </w:r>
      <w:r w:rsidRPr="00EB0F99">
        <w:rPr>
          <w:rFonts w:ascii="Georgia" w:hAnsi="Georgia"/>
          <w:sz w:val="24"/>
          <w:szCs w:val="24"/>
        </w:rPr>
        <w:t>Выбор аудиторских процедур является предметом нашего суждения, которое основывается на оценке риска существенных искажений, допущенных вследствие недобросовестных действий или ошибок. В процессе оценки данного риска нами рассмотрена система внутреннего</w:t>
      </w:r>
      <w:r w:rsidR="00A76822" w:rsidRPr="00EB0F99">
        <w:rPr>
          <w:rFonts w:ascii="Georgia" w:hAnsi="Georgia"/>
          <w:sz w:val="24"/>
          <w:szCs w:val="24"/>
        </w:rPr>
        <w:t xml:space="preserve"> </w:t>
      </w:r>
      <w:r w:rsidRPr="00EB0F99">
        <w:rPr>
          <w:rFonts w:ascii="Georgia" w:hAnsi="Georgia"/>
          <w:sz w:val="24"/>
          <w:szCs w:val="24"/>
        </w:rPr>
        <w:t xml:space="preserve">контроля, обеспечивающая составление и достоверность годовой бухгалтерской (финансовой) отчетности, с целью выбора </w:t>
      </w:r>
      <w:r w:rsidRPr="00EB0F99">
        <w:rPr>
          <w:rFonts w:ascii="Georgia" w:hAnsi="Georgia"/>
          <w:sz w:val="24"/>
          <w:szCs w:val="24"/>
        </w:rPr>
        <w:lastRenderedPageBreak/>
        <w:t>соответствующих аудиторских процедур, но не с целью выражения мнения об эффективности системы внутреннего контроля.</w:t>
      </w:r>
    </w:p>
    <w:p w:rsidR="001462CB" w:rsidRPr="00EB0F99" w:rsidRDefault="001462CB" w:rsidP="00F85653">
      <w:pPr>
        <w:spacing w:after="120" w:line="240" w:lineRule="auto"/>
        <w:jc w:val="both"/>
        <w:rPr>
          <w:rFonts w:ascii="Georgia" w:hAnsi="Georgia"/>
          <w:sz w:val="24"/>
          <w:szCs w:val="24"/>
        </w:rPr>
      </w:pPr>
      <w:r w:rsidRPr="00EB0F99">
        <w:rPr>
          <w:rFonts w:ascii="Georgia" w:hAnsi="Georgia"/>
          <w:sz w:val="24"/>
          <w:szCs w:val="24"/>
        </w:rPr>
        <w:t>Аудит также включал оценку надлежащего характера применяемой учетной политики и обоснованности оценочных показателей, полученных руководством Банка, а также оценку представления годовой бухгалтерской (финансовой) отчетности в целом.</w:t>
      </w:r>
    </w:p>
    <w:p w:rsidR="001462CB" w:rsidRPr="00EB0F99" w:rsidRDefault="001462CB" w:rsidP="00F85653">
      <w:pPr>
        <w:spacing w:after="120" w:line="240" w:lineRule="auto"/>
        <w:jc w:val="both"/>
        <w:rPr>
          <w:rFonts w:ascii="Georgia" w:hAnsi="Georgia"/>
          <w:sz w:val="24"/>
          <w:szCs w:val="24"/>
        </w:rPr>
      </w:pPr>
      <w:r w:rsidRPr="00EB0F99">
        <w:rPr>
          <w:rFonts w:ascii="Georgia" w:hAnsi="Georgia"/>
          <w:sz w:val="24"/>
          <w:szCs w:val="24"/>
        </w:rPr>
        <w:t>Мы пол</w:t>
      </w:r>
      <w:r w:rsidR="005E5AAF" w:rsidRPr="00EB0F99">
        <w:rPr>
          <w:rFonts w:ascii="Georgia" w:hAnsi="Georgia"/>
          <w:sz w:val="24"/>
          <w:szCs w:val="24"/>
        </w:rPr>
        <w:t>а</w:t>
      </w:r>
      <w:r w:rsidRPr="00EB0F99">
        <w:rPr>
          <w:rFonts w:ascii="Georgia" w:hAnsi="Georgia"/>
          <w:sz w:val="24"/>
          <w:szCs w:val="24"/>
        </w:rPr>
        <w:t>гаем, что полученные в ходе аудита</w:t>
      </w:r>
      <w:r w:rsidR="005E5AAF" w:rsidRPr="00EB0F99">
        <w:rPr>
          <w:rFonts w:ascii="Georgia" w:hAnsi="Georgia"/>
          <w:sz w:val="24"/>
          <w:szCs w:val="24"/>
        </w:rPr>
        <w:t xml:space="preserve"> аудиторские доказательства дают достаточные основания для выражения мнения о достоверности годовой бухгалтерской (финансовой) отчетности.</w:t>
      </w:r>
    </w:p>
    <w:p w:rsidR="005E5AAF" w:rsidRPr="00EB0F99" w:rsidRDefault="005E5AAF" w:rsidP="00F85653">
      <w:pPr>
        <w:spacing w:after="120" w:line="240" w:lineRule="auto"/>
        <w:jc w:val="both"/>
        <w:rPr>
          <w:rFonts w:ascii="Georgia" w:hAnsi="Georgia"/>
          <w:b/>
          <w:sz w:val="24"/>
          <w:szCs w:val="24"/>
        </w:rPr>
      </w:pPr>
      <w:r w:rsidRPr="00EB0F99">
        <w:rPr>
          <w:rFonts w:ascii="Georgia" w:hAnsi="Georgia"/>
          <w:b/>
          <w:sz w:val="24"/>
          <w:szCs w:val="24"/>
        </w:rPr>
        <w:t>Мнение аудитора</w:t>
      </w:r>
    </w:p>
    <w:p w:rsidR="005E5AAF" w:rsidRPr="00EB0F99" w:rsidRDefault="005E5AAF" w:rsidP="00F85653">
      <w:pPr>
        <w:spacing w:after="120" w:line="240" w:lineRule="auto"/>
        <w:jc w:val="both"/>
        <w:rPr>
          <w:rFonts w:ascii="Georgia" w:hAnsi="Georgia"/>
          <w:sz w:val="24"/>
          <w:szCs w:val="24"/>
        </w:rPr>
      </w:pPr>
      <w:r w:rsidRPr="00EB0F99">
        <w:rPr>
          <w:rFonts w:ascii="Georgia" w:hAnsi="Georgia"/>
          <w:sz w:val="24"/>
          <w:szCs w:val="24"/>
        </w:rPr>
        <w:t xml:space="preserve">По нашему мнению, годовая бухгалтерская (финансовая) отчетность </w:t>
      </w:r>
      <w:r w:rsidR="00EB0F99" w:rsidRPr="00EB0F99">
        <w:rPr>
          <w:rFonts w:ascii="Georgia" w:hAnsi="Georgia"/>
          <w:sz w:val="24"/>
          <w:szCs w:val="24"/>
        </w:rPr>
        <w:t xml:space="preserve"> Публичного акционерного общества «ИнтехБанк» (ПАО «ИнтехБанк») </w:t>
      </w:r>
      <w:r w:rsidRPr="00EB0F99">
        <w:rPr>
          <w:rFonts w:ascii="Georgia" w:hAnsi="Georgia"/>
          <w:sz w:val="24"/>
          <w:szCs w:val="24"/>
        </w:rPr>
        <w:t xml:space="preserve">отражает достоверно во всех существенных отношениях финансовое положение </w:t>
      </w:r>
      <w:r w:rsidR="00EB0F99" w:rsidRPr="00EB0F99">
        <w:rPr>
          <w:rFonts w:ascii="Georgia" w:hAnsi="Georgia"/>
          <w:sz w:val="24"/>
          <w:szCs w:val="24"/>
        </w:rPr>
        <w:t>Банка</w:t>
      </w:r>
      <w:r w:rsidRPr="00EB0F99">
        <w:rPr>
          <w:rFonts w:ascii="Georgia" w:hAnsi="Georgia"/>
          <w:sz w:val="24"/>
          <w:szCs w:val="24"/>
        </w:rPr>
        <w:t xml:space="preserve"> по состоянию на </w:t>
      </w:r>
      <w:r w:rsidR="00EB0F99" w:rsidRPr="00EB0F99">
        <w:rPr>
          <w:rFonts w:ascii="Georgia" w:hAnsi="Georgia"/>
          <w:sz w:val="24"/>
          <w:szCs w:val="24"/>
        </w:rPr>
        <w:t>0</w:t>
      </w:r>
      <w:r w:rsidRPr="00EB0F99">
        <w:rPr>
          <w:rFonts w:ascii="Georgia" w:hAnsi="Georgia"/>
          <w:sz w:val="24"/>
          <w:szCs w:val="24"/>
        </w:rPr>
        <w:t>1 января 201</w:t>
      </w:r>
      <w:r w:rsidR="00EB0F99" w:rsidRPr="00EB0F99">
        <w:rPr>
          <w:rFonts w:ascii="Georgia" w:hAnsi="Georgia"/>
          <w:sz w:val="24"/>
          <w:szCs w:val="24"/>
        </w:rPr>
        <w:t>6</w:t>
      </w:r>
      <w:r w:rsidRPr="00EB0F99">
        <w:rPr>
          <w:rFonts w:ascii="Georgia" w:hAnsi="Georgia"/>
          <w:sz w:val="24"/>
          <w:szCs w:val="24"/>
        </w:rPr>
        <w:t xml:space="preserve"> г</w:t>
      </w:r>
      <w:r w:rsidR="00EB0F99" w:rsidRPr="00EB0F99">
        <w:rPr>
          <w:rFonts w:ascii="Georgia" w:hAnsi="Georgia"/>
          <w:sz w:val="24"/>
          <w:szCs w:val="24"/>
        </w:rPr>
        <w:t>ода</w:t>
      </w:r>
      <w:r w:rsidRPr="00EB0F99">
        <w:rPr>
          <w:rFonts w:ascii="Georgia" w:hAnsi="Georgia"/>
          <w:sz w:val="24"/>
          <w:szCs w:val="24"/>
        </w:rPr>
        <w:t>, результаты его финансово-хозяйственной деятельности и движение денежных средств за 201</w:t>
      </w:r>
      <w:r w:rsidR="00EB0F99" w:rsidRPr="00EB0F99">
        <w:rPr>
          <w:rFonts w:ascii="Georgia" w:hAnsi="Georgia"/>
          <w:sz w:val="24"/>
          <w:szCs w:val="24"/>
        </w:rPr>
        <w:t>5</w:t>
      </w:r>
      <w:r w:rsidR="00EB0F99">
        <w:rPr>
          <w:rFonts w:ascii="Georgia" w:hAnsi="Georgia"/>
          <w:sz w:val="24"/>
          <w:szCs w:val="24"/>
        </w:rPr>
        <w:t xml:space="preserve"> год в соответствии с </w:t>
      </w:r>
      <w:r w:rsidRPr="00EB0F99">
        <w:rPr>
          <w:rFonts w:ascii="Georgia" w:hAnsi="Georgia"/>
          <w:sz w:val="24"/>
          <w:szCs w:val="24"/>
        </w:rPr>
        <w:t xml:space="preserve">установленными </w:t>
      </w:r>
      <w:r w:rsidR="00EB0F99" w:rsidRPr="00EB0F99">
        <w:rPr>
          <w:rFonts w:ascii="Georgia" w:hAnsi="Georgia"/>
          <w:sz w:val="24"/>
          <w:szCs w:val="24"/>
        </w:rPr>
        <w:t xml:space="preserve"> правилами составления годовой бухгалтерской (финансовой) отчетности кредитными организациями </w:t>
      </w:r>
      <w:r w:rsidRPr="00EB0F99">
        <w:rPr>
          <w:rFonts w:ascii="Georgia" w:hAnsi="Georgia"/>
          <w:sz w:val="24"/>
          <w:szCs w:val="24"/>
        </w:rPr>
        <w:t>в Российской Федерации.</w:t>
      </w:r>
    </w:p>
    <w:p w:rsidR="00C24D9F" w:rsidRPr="00EE317B" w:rsidRDefault="00616927" w:rsidP="00C24D9F">
      <w:pPr>
        <w:spacing w:after="0" w:line="240" w:lineRule="auto"/>
        <w:jc w:val="both"/>
        <w:rPr>
          <w:rFonts w:ascii="Georgia" w:hAnsi="Georgia"/>
          <w:b/>
          <w:sz w:val="24"/>
          <w:szCs w:val="24"/>
          <w:highlight w:val="yellow"/>
        </w:rPr>
      </w:pPr>
      <w:r>
        <w:rPr>
          <w:rFonts w:ascii="Georgia" w:hAnsi="Georgia"/>
          <w:b/>
          <w:noProof/>
          <w:sz w:val="24"/>
          <w:szCs w:val="24"/>
        </w:rPr>
        <w:drawing>
          <wp:anchor distT="0" distB="0" distL="114300" distR="114300" simplePos="0" relativeHeight="251802624" behindDoc="1" locked="0" layoutInCell="1" allowOverlap="1" wp14:anchorId="06A9843C" wp14:editId="304298D6">
            <wp:simplePos x="0" y="0"/>
            <wp:positionH relativeFrom="column">
              <wp:posOffset>2529965</wp:posOffset>
            </wp:positionH>
            <wp:positionV relativeFrom="paragraph">
              <wp:posOffset>113780</wp:posOffset>
            </wp:positionV>
            <wp:extent cx="1621820" cy="1576068"/>
            <wp:effectExtent l="0" t="0" r="0"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27277" cy="158137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200C" w:rsidRPr="00EE317B" w:rsidRDefault="005E200C" w:rsidP="00C24D9F">
      <w:pPr>
        <w:spacing w:after="0" w:line="240" w:lineRule="auto"/>
        <w:jc w:val="both"/>
        <w:rPr>
          <w:rFonts w:ascii="Georgia" w:hAnsi="Georgia"/>
          <w:b/>
          <w:sz w:val="24"/>
          <w:szCs w:val="24"/>
          <w:highlight w:val="yellow"/>
        </w:rPr>
      </w:pPr>
    </w:p>
    <w:p w:rsidR="00C24D9F" w:rsidRPr="00616927" w:rsidRDefault="00C24D9F" w:rsidP="00C24D9F">
      <w:pPr>
        <w:spacing w:after="0" w:line="240" w:lineRule="auto"/>
        <w:jc w:val="both"/>
        <w:rPr>
          <w:rFonts w:ascii="Georgia" w:hAnsi="Georgia"/>
          <w:b/>
          <w:sz w:val="24"/>
          <w:szCs w:val="24"/>
        </w:rPr>
      </w:pPr>
    </w:p>
    <w:p w:rsidR="00EB0F99" w:rsidRPr="00616927" w:rsidRDefault="00EB0F99" w:rsidP="00EB0F99">
      <w:pPr>
        <w:spacing w:after="0" w:line="240" w:lineRule="auto"/>
        <w:rPr>
          <w:rFonts w:ascii="Georgia" w:hAnsi="Georgia"/>
          <w:b/>
          <w:sz w:val="24"/>
          <w:szCs w:val="24"/>
        </w:rPr>
      </w:pPr>
      <w:r w:rsidRPr="00616927">
        <w:rPr>
          <w:rFonts w:ascii="Georgia" w:hAnsi="Georgia"/>
          <w:b/>
          <w:sz w:val="24"/>
          <w:szCs w:val="24"/>
        </w:rPr>
        <w:t xml:space="preserve">Руководитель аудиторской </w:t>
      </w:r>
      <w:r w:rsidR="00616927" w:rsidRPr="00616927">
        <w:rPr>
          <w:rFonts w:ascii="Georgia" w:hAnsi="Georgia"/>
          <w:b/>
          <w:sz w:val="24"/>
          <w:szCs w:val="24"/>
        </w:rPr>
        <w:t xml:space="preserve">                                               /Л.В. Ефимова/</w:t>
      </w:r>
    </w:p>
    <w:p w:rsidR="00EB0F99" w:rsidRPr="00616927" w:rsidRDefault="00EB0F99" w:rsidP="00EB0F99">
      <w:pPr>
        <w:spacing w:after="0" w:line="240" w:lineRule="auto"/>
        <w:rPr>
          <w:rFonts w:ascii="Georgia" w:hAnsi="Georgia"/>
          <w:b/>
          <w:sz w:val="24"/>
          <w:szCs w:val="24"/>
        </w:rPr>
      </w:pPr>
      <w:r w:rsidRPr="00616927">
        <w:rPr>
          <w:rFonts w:ascii="Georgia" w:hAnsi="Georgia"/>
          <w:b/>
          <w:sz w:val="24"/>
          <w:szCs w:val="24"/>
        </w:rPr>
        <w:t xml:space="preserve">проверки – Заместитель </w:t>
      </w:r>
    </w:p>
    <w:p w:rsidR="00EB0F99" w:rsidRPr="00616927" w:rsidRDefault="00EB0F99" w:rsidP="00EB0F99">
      <w:pPr>
        <w:spacing w:after="0" w:line="240" w:lineRule="auto"/>
        <w:rPr>
          <w:rFonts w:ascii="Georgia" w:hAnsi="Georgia"/>
          <w:b/>
          <w:sz w:val="24"/>
          <w:szCs w:val="24"/>
        </w:rPr>
      </w:pPr>
      <w:r w:rsidRPr="00616927">
        <w:rPr>
          <w:rFonts w:ascii="Georgia" w:hAnsi="Georgia"/>
          <w:b/>
          <w:sz w:val="24"/>
          <w:szCs w:val="24"/>
        </w:rPr>
        <w:t xml:space="preserve">директора по методологии                                                         </w:t>
      </w:r>
    </w:p>
    <w:p w:rsidR="00EB0F99" w:rsidRPr="00616927" w:rsidRDefault="00EB0F99" w:rsidP="00EB0F99">
      <w:pPr>
        <w:spacing w:after="0" w:line="240" w:lineRule="auto"/>
        <w:rPr>
          <w:rFonts w:ascii="Georgia" w:hAnsi="Georgia"/>
          <w:b/>
          <w:sz w:val="24"/>
          <w:szCs w:val="24"/>
        </w:rPr>
      </w:pPr>
      <w:r w:rsidRPr="00616927">
        <w:rPr>
          <w:rFonts w:ascii="Georgia" w:hAnsi="Georgia"/>
          <w:b/>
          <w:sz w:val="24"/>
          <w:szCs w:val="24"/>
        </w:rPr>
        <w:t xml:space="preserve">аудита ООО «Средне-Волжское </w:t>
      </w:r>
    </w:p>
    <w:p w:rsidR="00823FC8" w:rsidRPr="00616927" w:rsidRDefault="00EB0F99" w:rsidP="00EB0F99">
      <w:pPr>
        <w:spacing w:after="0" w:line="240" w:lineRule="auto"/>
        <w:rPr>
          <w:rFonts w:ascii="Georgia" w:hAnsi="Georgia"/>
          <w:b/>
          <w:sz w:val="24"/>
          <w:szCs w:val="24"/>
        </w:rPr>
      </w:pPr>
      <w:r w:rsidRPr="00616927">
        <w:rPr>
          <w:rFonts w:ascii="Georgia" w:hAnsi="Georgia"/>
          <w:b/>
          <w:sz w:val="24"/>
          <w:szCs w:val="24"/>
        </w:rPr>
        <w:t xml:space="preserve">экспертное бюро». </w:t>
      </w:r>
      <w:r w:rsidR="00C24D9F" w:rsidRPr="00616927">
        <w:rPr>
          <w:rFonts w:ascii="Georgia" w:hAnsi="Georgia"/>
          <w:b/>
          <w:sz w:val="24"/>
          <w:szCs w:val="24"/>
        </w:rPr>
        <w:tab/>
      </w:r>
      <w:r w:rsidR="00C24D9F" w:rsidRPr="00616927">
        <w:rPr>
          <w:rFonts w:ascii="Georgia" w:hAnsi="Georgia"/>
          <w:b/>
          <w:sz w:val="24"/>
          <w:szCs w:val="24"/>
        </w:rPr>
        <w:tab/>
      </w:r>
      <w:r w:rsidR="00C24D9F" w:rsidRPr="00616927">
        <w:rPr>
          <w:rFonts w:ascii="Georgia" w:hAnsi="Georgia"/>
          <w:b/>
          <w:sz w:val="24"/>
          <w:szCs w:val="24"/>
        </w:rPr>
        <w:tab/>
      </w:r>
      <w:r w:rsidR="00C24D9F" w:rsidRPr="00616927">
        <w:rPr>
          <w:rFonts w:ascii="Georgia" w:hAnsi="Georgia"/>
          <w:b/>
          <w:sz w:val="24"/>
          <w:szCs w:val="24"/>
        </w:rPr>
        <w:tab/>
      </w:r>
      <w:r w:rsidR="00C24D9F" w:rsidRPr="00616927">
        <w:rPr>
          <w:rFonts w:ascii="Georgia" w:hAnsi="Georgia"/>
          <w:b/>
          <w:sz w:val="24"/>
          <w:szCs w:val="24"/>
        </w:rPr>
        <w:tab/>
      </w:r>
    </w:p>
    <w:p w:rsidR="00823FC8" w:rsidRPr="00EE317B" w:rsidRDefault="00823FC8" w:rsidP="003414EE">
      <w:pPr>
        <w:spacing w:after="120" w:line="240" w:lineRule="auto"/>
        <w:jc w:val="both"/>
        <w:rPr>
          <w:rFonts w:ascii="Georgia" w:hAnsi="Georgia"/>
          <w:b/>
          <w:sz w:val="24"/>
          <w:szCs w:val="24"/>
          <w:highlight w:val="yellow"/>
        </w:rPr>
      </w:pPr>
    </w:p>
    <w:p w:rsidR="00616927" w:rsidRDefault="00616927" w:rsidP="003414EE">
      <w:pPr>
        <w:spacing w:after="120" w:line="240" w:lineRule="auto"/>
        <w:jc w:val="both"/>
        <w:rPr>
          <w:rFonts w:ascii="Georgia" w:hAnsi="Georgia"/>
          <w:b/>
          <w:sz w:val="24"/>
          <w:szCs w:val="24"/>
        </w:rPr>
      </w:pPr>
    </w:p>
    <w:p w:rsidR="00D34734" w:rsidRDefault="00D34734" w:rsidP="003414EE">
      <w:pPr>
        <w:spacing w:after="120" w:line="240" w:lineRule="auto"/>
        <w:jc w:val="both"/>
        <w:rPr>
          <w:rFonts w:ascii="Georgia" w:hAnsi="Georgia"/>
          <w:b/>
          <w:sz w:val="24"/>
          <w:szCs w:val="24"/>
        </w:rPr>
      </w:pPr>
    </w:p>
    <w:p w:rsidR="00D34734" w:rsidRDefault="00D34734" w:rsidP="00D34734">
      <w:pPr>
        <w:spacing w:after="120" w:line="240" w:lineRule="auto"/>
        <w:jc w:val="both"/>
        <w:rPr>
          <w:rFonts w:ascii="Georgia" w:hAnsi="Georgia"/>
          <w:b/>
          <w:sz w:val="24"/>
          <w:szCs w:val="24"/>
        </w:rPr>
      </w:pPr>
      <w:r w:rsidRPr="00616927">
        <w:rPr>
          <w:rFonts w:ascii="Georgia" w:hAnsi="Georgia"/>
          <w:b/>
          <w:sz w:val="24"/>
          <w:szCs w:val="24"/>
        </w:rPr>
        <w:t>А</w:t>
      </w:r>
      <w:r>
        <w:rPr>
          <w:rFonts w:ascii="Georgia" w:hAnsi="Georgia"/>
          <w:b/>
          <w:sz w:val="24"/>
          <w:szCs w:val="24"/>
        </w:rPr>
        <w:t>дресат</w:t>
      </w:r>
    </w:p>
    <w:p w:rsidR="00D34734" w:rsidRPr="00D34734" w:rsidRDefault="00D34734" w:rsidP="00D34734">
      <w:pPr>
        <w:spacing w:after="120" w:line="240" w:lineRule="auto"/>
        <w:jc w:val="both"/>
        <w:rPr>
          <w:rFonts w:ascii="Georgia" w:hAnsi="Georgia"/>
          <w:sz w:val="24"/>
          <w:szCs w:val="24"/>
        </w:rPr>
      </w:pPr>
      <w:r w:rsidRPr="00D34734">
        <w:rPr>
          <w:rFonts w:ascii="Georgia" w:hAnsi="Georgia"/>
          <w:sz w:val="24"/>
          <w:szCs w:val="24"/>
        </w:rPr>
        <w:t>Акционерам Публичного акционерного общества «ИнтехБанк» (ПАО «ИнтехБанк») и иным заинтересованным пользователям годовой бухгалтерской (финансовой) отчетности.</w:t>
      </w:r>
    </w:p>
    <w:p w:rsidR="00D34734" w:rsidRDefault="00D34734" w:rsidP="003414EE">
      <w:pPr>
        <w:spacing w:after="120" w:line="240" w:lineRule="auto"/>
        <w:jc w:val="both"/>
        <w:rPr>
          <w:rFonts w:ascii="Georgia" w:hAnsi="Georgia"/>
          <w:b/>
          <w:sz w:val="24"/>
          <w:szCs w:val="24"/>
        </w:rPr>
      </w:pPr>
    </w:p>
    <w:p w:rsidR="005E5AAF" w:rsidRPr="00616927" w:rsidRDefault="005E5AAF" w:rsidP="003414EE">
      <w:pPr>
        <w:spacing w:after="120" w:line="240" w:lineRule="auto"/>
        <w:jc w:val="both"/>
        <w:rPr>
          <w:rFonts w:ascii="Georgia" w:hAnsi="Georgia"/>
          <w:b/>
          <w:sz w:val="24"/>
          <w:szCs w:val="24"/>
        </w:rPr>
      </w:pPr>
      <w:r w:rsidRPr="00616927">
        <w:rPr>
          <w:rFonts w:ascii="Georgia" w:hAnsi="Georgia"/>
          <w:b/>
          <w:sz w:val="24"/>
          <w:szCs w:val="24"/>
        </w:rPr>
        <w:t>Аудируемое лицо</w:t>
      </w:r>
    </w:p>
    <w:p w:rsidR="005E5AAF" w:rsidRPr="00616927" w:rsidRDefault="00616927" w:rsidP="00D34734">
      <w:pPr>
        <w:spacing w:after="120" w:line="240" w:lineRule="auto"/>
        <w:jc w:val="both"/>
        <w:rPr>
          <w:rFonts w:ascii="Georgia" w:hAnsi="Georgia"/>
          <w:sz w:val="24"/>
          <w:szCs w:val="24"/>
        </w:rPr>
      </w:pPr>
      <w:r w:rsidRPr="00616927">
        <w:rPr>
          <w:rFonts w:ascii="Georgia" w:hAnsi="Georgia"/>
          <w:sz w:val="24"/>
          <w:szCs w:val="24"/>
        </w:rPr>
        <w:t>Н</w:t>
      </w:r>
      <w:r w:rsidR="005E5AAF" w:rsidRPr="00616927">
        <w:rPr>
          <w:rFonts w:ascii="Georgia" w:hAnsi="Georgia"/>
          <w:sz w:val="24"/>
          <w:szCs w:val="24"/>
        </w:rPr>
        <w:t xml:space="preserve">аименование Банка: </w:t>
      </w:r>
      <w:r w:rsidRPr="00616927">
        <w:rPr>
          <w:rFonts w:ascii="Georgia" w:hAnsi="Georgia"/>
          <w:sz w:val="24"/>
          <w:szCs w:val="24"/>
        </w:rPr>
        <w:t xml:space="preserve">Публичное </w:t>
      </w:r>
      <w:r w:rsidR="005E5AAF" w:rsidRPr="00616927">
        <w:rPr>
          <w:rFonts w:ascii="Georgia" w:hAnsi="Georgia"/>
          <w:sz w:val="24"/>
          <w:szCs w:val="24"/>
        </w:rPr>
        <w:t>акционерное общество «ИнтехБанк»</w:t>
      </w:r>
    </w:p>
    <w:p w:rsidR="005E5AAF" w:rsidRPr="00616927" w:rsidRDefault="00616927" w:rsidP="00D34734">
      <w:pPr>
        <w:spacing w:after="120" w:line="240" w:lineRule="auto"/>
        <w:jc w:val="both"/>
        <w:rPr>
          <w:rFonts w:ascii="Georgia" w:hAnsi="Georgia"/>
          <w:sz w:val="24"/>
          <w:szCs w:val="24"/>
        </w:rPr>
      </w:pPr>
      <w:r w:rsidRPr="00616927">
        <w:rPr>
          <w:rFonts w:ascii="Georgia" w:hAnsi="Georgia"/>
          <w:sz w:val="24"/>
          <w:szCs w:val="24"/>
        </w:rPr>
        <w:t>(ПАО</w:t>
      </w:r>
      <w:r w:rsidR="005E5AAF" w:rsidRPr="00616927">
        <w:rPr>
          <w:rFonts w:ascii="Georgia" w:hAnsi="Georgia"/>
          <w:sz w:val="24"/>
          <w:szCs w:val="24"/>
        </w:rPr>
        <w:t xml:space="preserve"> «ИнтехБанк»</w:t>
      </w:r>
      <w:r w:rsidRPr="00616927">
        <w:rPr>
          <w:rFonts w:ascii="Georgia" w:hAnsi="Georgia"/>
          <w:sz w:val="24"/>
          <w:szCs w:val="24"/>
        </w:rPr>
        <w:t>)</w:t>
      </w:r>
    </w:p>
    <w:p w:rsidR="005E5AAF" w:rsidRPr="00616927" w:rsidRDefault="005E5AAF" w:rsidP="00D34734">
      <w:pPr>
        <w:spacing w:after="120" w:line="240" w:lineRule="auto"/>
        <w:jc w:val="both"/>
        <w:rPr>
          <w:rFonts w:ascii="Georgia" w:hAnsi="Georgia"/>
          <w:sz w:val="24"/>
          <w:szCs w:val="24"/>
        </w:rPr>
      </w:pPr>
      <w:r w:rsidRPr="00616927">
        <w:rPr>
          <w:rFonts w:ascii="Georgia" w:hAnsi="Georgia"/>
          <w:sz w:val="24"/>
          <w:szCs w:val="24"/>
        </w:rPr>
        <w:t>Место</w:t>
      </w:r>
      <w:r w:rsidR="00081F65" w:rsidRPr="00616927">
        <w:rPr>
          <w:rFonts w:ascii="Georgia" w:hAnsi="Georgia"/>
          <w:sz w:val="24"/>
          <w:szCs w:val="24"/>
        </w:rPr>
        <w:t xml:space="preserve"> нахождения: 420021, г. Казань, ул. Ш</w:t>
      </w:r>
      <w:r w:rsidR="00616927" w:rsidRPr="00616927">
        <w:rPr>
          <w:rFonts w:ascii="Georgia" w:hAnsi="Georgia"/>
          <w:sz w:val="24"/>
          <w:szCs w:val="24"/>
        </w:rPr>
        <w:t>.</w:t>
      </w:r>
      <w:r w:rsidR="00081F65" w:rsidRPr="00616927">
        <w:rPr>
          <w:rFonts w:ascii="Georgia" w:hAnsi="Georgia"/>
          <w:sz w:val="24"/>
          <w:szCs w:val="24"/>
        </w:rPr>
        <w:t xml:space="preserve"> Марджани, д. 24</w:t>
      </w:r>
    </w:p>
    <w:p w:rsidR="00616927" w:rsidRPr="00616927" w:rsidRDefault="00616927" w:rsidP="00D34734">
      <w:pPr>
        <w:spacing w:after="120" w:line="240" w:lineRule="auto"/>
        <w:jc w:val="both"/>
        <w:rPr>
          <w:rFonts w:ascii="Georgia" w:hAnsi="Georgia"/>
          <w:sz w:val="24"/>
          <w:szCs w:val="24"/>
        </w:rPr>
      </w:pPr>
      <w:r w:rsidRPr="00616927">
        <w:rPr>
          <w:rFonts w:ascii="Georgia" w:hAnsi="Georgia"/>
          <w:sz w:val="24"/>
          <w:szCs w:val="24"/>
        </w:rPr>
        <w:t>Г</w:t>
      </w:r>
      <w:r w:rsidR="00081F65" w:rsidRPr="00616927">
        <w:rPr>
          <w:rFonts w:ascii="Georgia" w:hAnsi="Georgia"/>
          <w:sz w:val="24"/>
          <w:szCs w:val="24"/>
        </w:rPr>
        <w:t>осударственн</w:t>
      </w:r>
      <w:r w:rsidRPr="00616927">
        <w:rPr>
          <w:rFonts w:ascii="Georgia" w:hAnsi="Georgia"/>
          <w:sz w:val="24"/>
          <w:szCs w:val="24"/>
        </w:rPr>
        <w:t>ая</w:t>
      </w:r>
      <w:r w:rsidR="00081F65" w:rsidRPr="00616927">
        <w:rPr>
          <w:rFonts w:ascii="Georgia" w:hAnsi="Georgia"/>
          <w:sz w:val="24"/>
          <w:szCs w:val="24"/>
        </w:rPr>
        <w:t xml:space="preserve"> регистраци</w:t>
      </w:r>
      <w:r w:rsidRPr="00616927">
        <w:rPr>
          <w:rFonts w:ascii="Georgia" w:hAnsi="Georgia"/>
          <w:sz w:val="24"/>
          <w:szCs w:val="24"/>
        </w:rPr>
        <w:t>я: Банк зарегистрирован Центральным банком Российской Федерации 21 февраля 1994 года за №2705.</w:t>
      </w:r>
    </w:p>
    <w:p w:rsidR="00081F65" w:rsidRPr="00616927" w:rsidRDefault="00616927" w:rsidP="00D34734">
      <w:pPr>
        <w:spacing w:after="120" w:line="240" w:lineRule="auto"/>
        <w:jc w:val="both"/>
        <w:rPr>
          <w:rFonts w:ascii="Georgia" w:hAnsi="Georgia"/>
          <w:sz w:val="24"/>
          <w:szCs w:val="24"/>
        </w:rPr>
      </w:pPr>
      <w:r w:rsidRPr="00616927">
        <w:rPr>
          <w:rFonts w:ascii="Georgia" w:hAnsi="Georgia"/>
          <w:sz w:val="24"/>
          <w:szCs w:val="24"/>
        </w:rPr>
        <w:t xml:space="preserve">Свидетельство о государственной регистрации юридического лица за основным государственным регистрационным </w:t>
      </w:r>
      <w:r w:rsidR="00081F65" w:rsidRPr="00616927">
        <w:rPr>
          <w:rFonts w:ascii="Georgia" w:hAnsi="Georgia"/>
          <w:sz w:val="24"/>
          <w:szCs w:val="24"/>
        </w:rPr>
        <w:t>номер</w:t>
      </w:r>
      <w:r w:rsidRPr="00616927">
        <w:rPr>
          <w:rFonts w:ascii="Georgia" w:hAnsi="Georgia"/>
          <w:sz w:val="24"/>
          <w:szCs w:val="24"/>
        </w:rPr>
        <w:t>ом</w:t>
      </w:r>
      <w:r w:rsidR="00081F65" w:rsidRPr="00616927">
        <w:rPr>
          <w:rFonts w:ascii="Georgia" w:hAnsi="Georgia"/>
          <w:sz w:val="24"/>
          <w:szCs w:val="24"/>
        </w:rPr>
        <w:t xml:space="preserve"> 1081600001097</w:t>
      </w:r>
      <w:r w:rsidRPr="00616927">
        <w:rPr>
          <w:rFonts w:ascii="Georgia" w:hAnsi="Georgia"/>
          <w:sz w:val="24"/>
          <w:szCs w:val="24"/>
        </w:rPr>
        <w:t>, дата внесения записи: 03.04.2008 г., регистрирующий орган: Управление Федеральной налоговой службы России по Республике Татарстан.</w:t>
      </w:r>
    </w:p>
    <w:p w:rsidR="006F0685" w:rsidRDefault="006F0685" w:rsidP="003414EE">
      <w:pPr>
        <w:spacing w:after="120" w:line="240" w:lineRule="auto"/>
        <w:jc w:val="both"/>
        <w:rPr>
          <w:rFonts w:ascii="Georgia" w:hAnsi="Georgia"/>
          <w:b/>
          <w:sz w:val="24"/>
          <w:szCs w:val="24"/>
          <w:highlight w:val="yellow"/>
        </w:rPr>
      </w:pPr>
    </w:p>
    <w:p w:rsidR="00D34734" w:rsidRPr="00D34734" w:rsidRDefault="00D34734" w:rsidP="005E127E">
      <w:pPr>
        <w:spacing w:after="0" w:line="240" w:lineRule="auto"/>
        <w:jc w:val="both"/>
        <w:rPr>
          <w:rFonts w:ascii="Georgia" w:hAnsi="Georgia"/>
          <w:b/>
          <w:sz w:val="20"/>
          <w:szCs w:val="20"/>
        </w:rPr>
      </w:pPr>
    </w:p>
    <w:p w:rsidR="00F85653" w:rsidRPr="00F85653" w:rsidRDefault="00F85653" w:rsidP="003A49E4">
      <w:pPr>
        <w:spacing w:after="0" w:line="240" w:lineRule="auto"/>
        <w:jc w:val="both"/>
        <w:rPr>
          <w:rFonts w:ascii="Georgia" w:hAnsi="Georgia"/>
          <w:b/>
          <w:sz w:val="20"/>
          <w:szCs w:val="20"/>
        </w:rPr>
      </w:pPr>
    </w:p>
    <w:p w:rsidR="00081F65" w:rsidRPr="006F0685" w:rsidRDefault="00081F65" w:rsidP="003A49E4">
      <w:pPr>
        <w:spacing w:after="0" w:line="240" w:lineRule="auto"/>
        <w:jc w:val="both"/>
        <w:rPr>
          <w:rFonts w:ascii="Georgia" w:hAnsi="Georgia"/>
          <w:b/>
          <w:sz w:val="24"/>
          <w:szCs w:val="24"/>
        </w:rPr>
      </w:pPr>
      <w:r w:rsidRPr="006F0685">
        <w:rPr>
          <w:rFonts w:ascii="Georgia" w:hAnsi="Georgia"/>
          <w:b/>
          <w:sz w:val="24"/>
          <w:szCs w:val="24"/>
        </w:rPr>
        <w:t>Аудитор</w:t>
      </w:r>
    </w:p>
    <w:p w:rsidR="00081F65" w:rsidRPr="006F0685" w:rsidRDefault="00081F65" w:rsidP="005E200C">
      <w:pPr>
        <w:spacing w:after="120" w:line="240" w:lineRule="auto"/>
        <w:rPr>
          <w:rFonts w:ascii="Georgia" w:hAnsi="Georgia"/>
          <w:sz w:val="24"/>
          <w:szCs w:val="24"/>
        </w:rPr>
      </w:pPr>
      <w:r w:rsidRPr="006F0685">
        <w:rPr>
          <w:rFonts w:ascii="Georgia" w:hAnsi="Georgia"/>
          <w:sz w:val="24"/>
          <w:szCs w:val="24"/>
        </w:rPr>
        <w:t xml:space="preserve">Наименование: </w:t>
      </w:r>
      <w:r w:rsidR="006F0685" w:rsidRPr="006F0685">
        <w:rPr>
          <w:rFonts w:ascii="Georgia" w:hAnsi="Georgia"/>
          <w:sz w:val="24"/>
          <w:szCs w:val="24"/>
        </w:rPr>
        <w:t xml:space="preserve"> Общество с ограниченной ответственностью «Средне-Волжское экспертное бюро».</w:t>
      </w:r>
    </w:p>
    <w:p w:rsidR="00081F65" w:rsidRPr="006F0685" w:rsidRDefault="00081F65" w:rsidP="005E200C">
      <w:pPr>
        <w:spacing w:after="120" w:line="240" w:lineRule="auto"/>
        <w:rPr>
          <w:rFonts w:ascii="Georgia" w:hAnsi="Georgia"/>
          <w:sz w:val="24"/>
          <w:szCs w:val="24"/>
        </w:rPr>
      </w:pPr>
      <w:r w:rsidRPr="006F0685">
        <w:rPr>
          <w:rFonts w:ascii="Georgia" w:hAnsi="Georgia"/>
          <w:sz w:val="24"/>
          <w:szCs w:val="24"/>
        </w:rPr>
        <w:t>Место нахождения: 4200</w:t>
      </w:r>
      <w:r w:rsidR="006F0685" w:rsidRPr="006F0685">
        <w:rPr>
          <w:rFonts w:ascii="Georgia" w:hAnsi="Georgia"/>
          <w:sz w:val="24"/>
          <w:szCs w:val="24"/>
        </w:rPr>
        <w:t xml:space="preserve">66, г. Казань, ул. Абсалямова, </w:t>
      </w:r>
      <w:r w:rsidRPr="006F0685">
        <w:rPr>
          <w:rFonts w:ascii="Georgia" w:hAnsi="Georgia"/>
          <w:sz w:val="24"/>
          <w:szCs w:val="24"/>
        </w:rPr>
        <w:t xml:space="preserve">д. </w:t>
      </w:r>
      <w:r w:rsidR="006F0685" w:rsidRPr="006F0685">
        <w:rPr>
          <w:rFonts w:ascii="Georgia" w:hAnsi="Georgia"/>
          <w:sz w:val="24"/>
          <w:szCs w:val="24"/>
        </w:rPr>
        <w:t>13</w:t>
      </w:r>
    </w:p>
    <w:p w:rsidR="006F0685" w:rsidRDefault="006F0685" w:rsidP="005E200C">
      <w:pPr>
        <w:spacing w:after="120" w:line="240" w:lineRule="auto"/>
        <w:jc w:val="both"/>
        <w:rPr>
          <w:rFonts w:ascii="Georgia" w:hAnsi="Georgia"/>
          <w:sz w:val="24"/>
          <w:szCs w:val="24"/>
        </w:rPr>
      </w:pPr>
      <w:r w:rsidRPr="00616927">
        <w:rPr>
          <w:rFonts w:ascii="Georgia" w:hAnsi="Georgia"/>
          <w:sz w:val="24"/>
          <w:szCs w:val="24"/>
        </w:rPr>
        <w:t xml:space="preserve">Государственная регистрация: </w:t>
      </w:r>
      <w:r>
        <w:rPr>
          <w:rFonts w:ascii="Georgia" w:hAnsi="Georgia"/>
          <w:sz w:val="24"/>
          <w:szCs w:val="24"/>
        </w:rPr>
        <w:t xml:space="preserve">Свидетельство о государственной регистрации № 2744/Ю-К от 2 июля 1999 года, выданное государственной палатой при </w:t>
      </w:r>
      <w:r w:rsidR="00D34734">
        <w:rPr>
          <w:rFonts w:ascii="Georgia" w:hAnsi="Georgia"/>
          <w:sz w:val="24"/>
          <w:szCs w:val="24"/>
        </w:rPr>
        <w:t>Министерстве</w:t>
      </w:r>
      <w:r>
        <w:rPr>
          <w:rFonts w:ascii="Georgia" w:hAnsi="Georgia"/>
          <w:sz w:val="24"/>
          <w:szCs w:val="24"/>
        </w:rPr>
        <w:t xml:space="preserve"> юстиции РТ (Казанский филиал №1);</w:t>
      </w:r>
    </w:p>
    <w:p w:rsidR="006F0685" w:rsidRDefault="006F0685" w:rsidP="005E200C">
      <w:pPr>
        <w:spacing w:after="120" w:line="240" w:lineRule="auto"/>
        <w:jc w:val="both"/>
        <w:rPr>
          <w:rFonts w:ascii="Georgia" w:hAnsi="Georgia"/>
          <w:sz w:val="24"/>
          <w:szCs w:val="24"/>
        </w:rPr>
      </w:pPr>
      <w:r>
        <w:rPr>
          <w:rFonts w:ascii="Georgia" w:hAnsi="Georgia"/>
          <w:sz w:val="24"/>
          <w:szCs w:val="24"/>
        </w:rPr>
        <w:t>Свидетельство о внесении записи в Единый государственный реестр юридических лиц о юридическом лице, зарегистрированном до 1 июля 2002 года за основным государственным регистрационным номером 1021603278663, дата внесения записи: 22.11.2002 года, регистрирующий орган: Инспекция МНС РФ по московскому району г. Казани РТ.</w:t>
      </w:r>
    </w:p>
    <w:p w:rsidR="006F0685" w:rsidRDefault="006F0685" w:rsidP="005E200C">
      <w:pPr>
        <w:spacing w:after="120" w:line="240" w:lineRule="auto"/>
        <w:jc w:val="both"/>
        <w:rPr>
          <w:rFonts w:ascii="Georgia" w:hAnsi="Georgia"/>
          <w:sz w:val="24"/>
          <w:szCs w:val="24"/>
        </w:rPr>
      </w:pPr>
      <w:r>
        <w:rPr>
          <w:rFonts w:ascii="Georgia" w:hAnsi="Georgia"/>
          <w:sz w:val="24"/>
          <w:szCs w:val="24"/>
        </w:rPr>
        <w:t>Является членом саморегулируемой организации</w:t>
      </w:r>
      <w:r w:rsidR="00D34734">
        <w:rPr>
          <w:rFonts w:ascii="Georgia" w:hAnsi="Georgia"/>
          <w:sz w:val="24"/>
          <w:szCs w:val="24"/>
        </w:rPr>
        <w:t xml:space="preserve"> </w:t>
      </w:r>
      <w:r>
        <w:rPr>
          <w:rFonts w:ascii="Georgia" w:hAnsi="Georgia"/>
          <w:sz w:val="24"/>
          <w:szCs w:val="24"/>
        </w:rPr>
        <w:t xml:space="preserve">аудиторов «Некоммерческое Партнерство </w:t>
      </w:r>
      <w:r w:rsidR="009B34B2">
        <w:rPr>
          <w:rFonts w:ascii="Georgia" w:hAnsi="Georgia"/>
          <w:sz w:val="24"/>
          <w:szCs w:val="24"/>
        </w:rPr>
        <w:t>«Российская Коллегия аудиторов»: основной регистрационный номер записи о внесении сведений в Реестр аудиторов и аудиторских</w:t>
      </w:r>
      <w:r w:rsidR="00D34734">
        <w:rPr>
          <w:rFonts w:ascii="Georgia" w:hAnsi="Georgia"/>
          <w:sz w:val="24"/>
          <w:szCs w:val="24"/>
        </w:rPr>
        <w:t xml:space="preserve"> </w:t>
      </w:r>
      <w:r w:rsidR="009B34B2">
        <w:rPr>
          <w:rFonts w:ascii="Georgia" w:hAnsi="Georgia"/>
          <w:sz w:val="24"/>
          <w:szCs w:val="24"/>
        </w:rPr>
        <w:t>организаций саморегулируемой организации аудиторов «Некоммерческое партнерство «Российская коллегия аудиторов» - 10205008931.</w:t>
      </w:r>
    </w:p>
    <w:p w:rsidR="00081F65" w:rsidRDefault="00081F65" w:rsidP="00D47C29">
      <w:pPr>
        <w:pStyle w:val="1"/>
        <w:spacing w:before="0" w:line="240" w:lineRule="auto"/>
        <w:rPr>
          <w:noProof/>
          <w:color w:val="00B050"/>
          <w:sz w:val="20"/>
          <w:szCs w:val="20"/>
        </w:rPr>
      </w:pPr>
    </w:p>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9B34B2" w:rsidRDefault="009B34B2" w:rsidP="009B34B2"/>
    <w:p w:rsidR="00D34734" w:rsidRDefault="00D34734" w:rsidP="009B34B2"/>
    <w:p w:rsidR="00D34734" w:rsidRDefault="00D34734" w:rsidP="009B34B2"/>
    <w:p w:rsidR="00D34734" w:rsidRPr="009B34B2" w:rsidRDefault="00D34734" w:rsidP="009B34B2"/>
    <w:p w:rsidR="00F85653" w:rsidRPr="00F85653" w:rsidRDefault="00F85653" w:rsidP="00414DF8">
      <w:pPr>
        <w:pStyle w:val="1"/>
        <w:spacing w:before="0" w:line="240" w:lineRule="auto"/>
        <w:rPr>
          <w:noProof/>
          <w:color w:val="00B050"/>
          <w:sz w:val="20"/>
          <w:szCs w:val="20"/>
        </w:rPr>
      </w:pPr>
    </w:p>
    <w:p w:rsidR="00414DF8" w:rsidRPr="00774AAD" w:rsidRDefault="00414DF8" w:rsidP="00414DF8">
      <w:pPr>
        <w:pStyle w:val="1"/>
        <w:spacing w:before="0" w:line="240" w:lineRule="auto"/>
        <w:rPr>
          <w:noProof/>
          <w:color w:val="00B050"/>
          <w:sz w:val="40"/>
        </w:rPr>
      </w:pPr>
      <w:bookmarkStart w:id="61" w:name="_Toc448145488"/>
      <w:r w:rsidRPr="00774AAD">
        <w:rPr>
          <w:noProof/>
          <w:color w:val="00B050"/>
          <w:sz w:val="40"/>
        </w:rPr>
        <w:t>Бухгалтерский баланс</w:t>
      </w:r>
      <w:bookmarkEnd w:id="61"/>
    </w:p>
    <w:p w:rsidR="00414DF8" w:rsidRPr="00774AAD" w:rsidRDefault="00414DF8" w:rsidP="00414DF8">
      <w:pPr>
        <w:pStyle w:val="1"/>
        <w:spacing w:before="0" w:line="240" w:lineRule="auto"/>
        <w:rPr>
          <w:noProof/>
          <w:color w:val="00B050"/>
          <w:sz w:val="20"/>
          <w:szCs w:val="20"/>
        </w:rPr>
      </w:pPr>
    </w:p>
    <w:p w:rsidR="00414DF8" w:rsidRPr="00774AAD" w:rsidRDefault="00414DF8" w:rsidP="00414DF8">
      <w:pPr>
        <w:spacing w:after="0" w:line="240" w:lineRule="auto"/>
        <w:rPr>
          <w:rFonts w:ascii="Georgia" w:hAnsi="Georgia"/>
          <w:b/>
          <w:i/>
          <w:color w:val="365F91" w:themeColor="accent1" w:themeShade="BF"/>
          <w:sz w:val="28"/>
          <w:szCs w:val="24"/>
        </w:rPr>
      </w:pPr>
      <w:r w:rsidRPr="00774AAD">
        <w:rPr>
          <w:rFonts w:ascii="Georgia" w:hAnsi="Georgia"/>
          <w:b/>
          <w:i/>
          <w:color w:val="365F91" w:themeColor="accent1" w:themeShade="BF"/>
          <w:sz w:val="28"/>
          <w:szCs w:val="24"/>
        </w:rPr>
        <w:t>(публикуемая форма)</w:t>
      </w:r>
    </w:p>
    <w:p w:rsidR="00414DF8" w:rsidRPr="00774AAD" w:rsidRDefault="00414DF8" w:rsidP="00414DF8">
      <w:pPr>
        <w:spacing w:after="0" w:line="240" w:lineRule="auto"/>
        <w:rPr>
          <w:rFonts w:ascii="Georgia" w:hAnsi="Georgia"/>
          <w:b/>
          <w:i/>
          <w:color w:val="365F91" w:themeColor="accent1" w:themeShade="BF"/>
          <w:sz w:val="28"/>
          <w:szCs w:val="24"/>
        </w:rPr>
      </w:pPr>
      <w:r w:rsidRPr="00774AAD">
        <w:rPr>
          <w:rFonts w:ascii="Georgia" w:hAnsi="Georgia"/>
          <w:b/>
          <w:i/>
          <w:color w:val="365F91" w:themeColor="accent1" w:themeShade="BF"/>
          <w:sz w:val="28"/>
          <w:szCs w:val="24"/>
        </w:rPr>
        <w:t>на 1 января 201</w:t>
      </w:r>
      <w:r w:rsidR="00774AAD" w:rsidRPr="00774AAD">
        <w:rPr>
          <w:rFonts w:ascii="Georgia" w:hAnsi="Georgia"/>
          <w:b/>
          <w:i/>
          <w:color w:val="365F91" w:themeColor="accent1" w:themeShade="BF"/>
          <w:sz w:val="28"/>
          <w:szCs w:val="24"/>
        </w:rPr>
        <w:t xml:space="preserve">6 </w:t>
      </w:r>
      <w:r w:rsidRPr="00774AAD">
        <w:rPr>
          <w:rFonts w:ascii="Georgia" w:hAnsi="Georgia"/>
          <w:b/>
          <w:i/>
          <w:color w:val="365F91" w:themeColor="accent1" w:themeShade="BF"/>
          <w:sz w:val="28"/>
          <w:szCs w:val="24"/>
        </w:rPr>
        <w:t>года</w:t>
      </w:r>
    </w:p>
    <w:p w:rsidR="001462CB" w:rsidRPr="00EE317B" w:rsidRDefault="001462CB" w:rsidP="003414EE">
      <w:pPr>
        <w:spacing w:after="120" w:line="240" w:lineRule="auto"/>
        <w:jc w:val="both"/>
        <w:rPr>
          <w:rFonts w:ascii="Georgia" w:hAnsi="Georgia"/>
          <w:sz w:val="24"/>
          <w:szCs w:val="24"/>
          <w:highlight w:val="yellow"/>
        </w:rPr>
      </w:pPr>
    </w:p>
    <w:p w:rsidR="007C7BA8" w:rsidRPr="00EE317B" w:rsidRDefault="007C7BA8" w:rsidP="003414EE">
      <w:pPr>
        <w:spacing w:after="120" w:line="240" w:lineRule="auto"/>
        <w:jc w:val="both"/>
        <w:rPr>
          <w:rFonts w:ascii="Georgia" w:hAnsi="Georgia"/>
          <w:sz w:val="24"/>
          <w:szCs w:val="24"/>
          <w:highlight w:val="yellow"/>
        </w:rPr>
      </w:pPr>
    </w:p>
    <w:tbl>
      <w:tblPr>
        <w:tblW w:w="8837" w:type="dxa"/>
        <w:tblInd w:w="-34" w:type="dxa"/>
        <w:tblLook w:val="04A0" w:firstRow="1" w:lastRow="0" w:firstColumn="1" w:lastColumn="0" w:noHBand="0" w:noVBand="1"/>
      </w:tblPr>
      <w:tblGrid>
        <w:gridCol w:w="5150"/>
        <w:gridCol w:w="236"/>
        <w:gridCol w:w="3437"/>
        <w:gridCol w:w="14"/>
      </w:tblGrid>
      <w:tr w:rsidR="007C7BA8" w:rsidRPr="00774AAD" w:rsidTr="007C7BA8">
        <w:trPr>
          <w:gridAfter w:val="1"/>
          <w:wAfter w:w="14" w:type="dxa"/>
          <w:trHeight w:val="255"/>
        </w:trPr>
        <w:tc>
          <w:tcPr>
            <w:tcW w:w="5150" w:type="dxa"/>
            <w:tcBorders>
              <w:top w:val="nil"/>
              <w:left w:val="nil"/>
              <w:bottom w:val="nil"/>
              <w:right w:val="nil"/>
            </w:tcBorders>
            <w:vAlign w:val="center"/>
          </w:tcPr>
          <w:p w:rsidR="007C7BA8" w:rsidRPr="00774AAD" w:rsidRDefault="007C7BA8" w:rsidP="007C7BA8">
            <w:pPr>
              <w:spacing w:after="0" w:line="240" w:lineRule="auto"/>
              <w:rPr>
                <w:rFonts w:ascii="Georgia" w:eastAsia="Times New Roman" w:hAnsi="Georgia" w:cs="Arial CYR"/>
                <w:szCs w:val="20"/>
              </w:rPr>
            </w:pPr>
            <w:r w:rsidRPr="00774AAD">
              <w:rPr>
                <w:rFonts w:ascii="Georgia" w:eastAsia="Times New Roman" w:hAnsi="Georgia" w:cs="Arial CYR"/>
                <w:szCs w:val="20"/>
              </w:rPr>
              <w:t xml:space="preserve">Кредитной организации </w:t>
            </w:r>
          </w:p>
          <w:p w:rsidR="007C7BA8" w:rsidRPr="00774AAD" w:rsidRDefault="00774AAD" w:rsidP="007C7BA8">
            <w:pPr>
              <w:spacing w:after="0" w:line="240" w:lineRule="auto"/>
              <w:rPr>
                <w:rFonts w:ascii="Georgia" w:eastAsia="Times New Roman" w:hAnsi="Georgia" w:cs="Arial CYR"/>
                <w:szCs w:val="20"/>
              </w:rPr>
            </w:pPr>
            <w:r w:rsidRPr="00774AAD">
              <w:rPr>
                <w:rFonts w:ascii="Georgia" w:eastAsia="Times New Roman" w:hAnsi="Georgia" w:cs="Arial CYR"/>
                <w:szCs w:val="20"/>
              </w:rPr>
              <w:t>П</w:t>
            </w:r>
            <w:r w:rsidR="007C7BA8" w:rsidRPr="00774AAD">
              <w:rPr>
                <w:rFonts w:ascii="Georgia" w:eastAsia="Times New Roman" w:hAnsi="Georgia" w:cs="Arial CYR"/>
                <w:szCs w:val="20"/>
              </w:rPr>
              <w:t>АО «ИнтехБанк»</w:t>
            </w:r>
          </w:p>
        </w:tc>
        <w:tc>
          <w:tcPr>
            <w:tcW w:w="3673" w:type="dxa"/>
            <w:gridSpan w:val="2"/>
            <w:tcBorders>
              <w:top w:val="nil"/>
              <w:left w:val="nil"/>
              <w:bottom w:val="nil"/>
              <w:right w:val="nil"/>
            </w:tcBorders>
            <w:shd w:val="clear" w:color="auto" w:fill="auto"/>
            <w:noWrap/>
            <w:vAlign w:val="bottom"/>
            <w:hideMark/>
          </w:tcPr>
          <w:p w:rsidR="007C7BA8" w:rsidRPr="00774AAD" w:rsidRDefault="007C7BA8" w:rsidP="007C7BA8">
            <w:pPr>
              <w:spacing w:after="0" w:line="240" w:lineRule="auto"/>
              <w:jc w:val="right"/>
              <w:rPr>
                <w:rFonts w:ascii="Georgia" w:eastAsia="Times New Roman" w:hAnsi="Georgia" w:cs="Arial CYR"/>
                <w:szCs w:val="20"/>
              </w:rPr>
            </w:pPr>
            <w:r w:rsidRPr="00774AAD">
              <w:rPr>
                <w:rFonts w:ascii="Georgia" w:eastAsia="Times New Roman" w:hAnsi="Georgia" w:cs="Arial CYR"/>
                <w:szCs w:val="20"/>
              </w:rPr>
              <w:t>Код формы по ОКУД 0409806</w:t>
            </w:r>
          </w:p>
        </w:tc>
      </w:tr>
      <w:tr w:rsidR="007C7BA8" w:rsidRPr="00774AAD" w:rsidTr="007C7BA8">
        <w:trPr>
          <w:gridAfter w:val="1"/>
          <w:wAfter w:w="14" w:type="dxa"/>
          <w:trHeight w:val="255"/>
        </w:trPr>
        <w:tc>
          <w:tcPr>
            <w:tcW w:w="5150" w:type="dxa"/>
            <w:tcBorders>
              <w:top w:val="nil"/>
              <w:left w:val="nil"/>
              <w:bottom w:val="nil"/>
              <w:right w:val="nil"/>
            </w:tcBorders>
            <w:vAlign w:val="center"/>
          </w:tcPr>
          <w:p w:rsidR="007C7BA8" w:rsidRPr="00774AAD" w:rsidRDefault="007C7BA8" w:rsidP="007C7BA8">
            <w:pPr>
              <w:spacing w:after="0" w:line="240" w:lineRule="auto"/>
              <w:rPr>
                <w:rFonts w:ascii="Georgia" w:eastAsia="Times New Roman" w:hAnsi="Georgia" w:cs="Arial CYR"/>
                <w:szCs w:val="20"/>
              </w:rPr>
            </w:pPr>
            <w:r w:rsidRPr="00774AAD">
              <w:rPr>
                <w:rFonts w:ascii="Georgia" w:eastAsia="Times New Roman" w:hAnsi="Georgia" w:cs="Arial CYR"/>
                <w:szCs w:val="20"/>
              </w:rPr>
              <w:t xml:space="preserve">Почтовый адрес: </w:t>
            </w:r>
          </w:p>
        </w:tc>
        <w:tc>
          <w:tcPr>
            <w:tcW w:w="3673" w:type="dxa"/>
            <w:gridSpan w:val="2"/>
            <w:tcBorders>
              <w:top w:val="nil"/>
              <w:left w:val="nil"/>
              <w:bottom w:val="nil"/>
              <w:right w:val="nil"/>
            </w:tcBorders>
            <w:shd w:val="clear" w:color="auto" w:fill="auto"/>
            <w:noWrap/>
            <w:vAlign w:val="center"/>
            <w:hideMark/>
          </w:tcPr>
          <w:p w:rsidR="007C7BA8" w:rsidRPr="00774AAD" w:rsidRDefault="007C7BA8" w:rsidP="007C7BA8">
            <w:pPr>
              <w:spacing w:after="0" w:line="240" w:lineRule="auto"/>
              <w:jc w:val="right"/>
              <w:rPr>
                <w:rFonts w:ascii="Georgia" w:eastAsia="Times New Roman" w:hAnsi="Georgia" w:cs="Arial CYR"/>
                <w:szCs w:val="20"/>
              </w:rPr>
            </w:pPr>
            <w:r w:rsidRPr="00774AAD">
              <w:rPr>
                <w:rFonts w:ascii="Georgia" w:eastAsia="Times New Roman" w:hAnsi="Georgia" w:cs="Arial CYR"/>
                <w:szCs w:val="20"/>
              </w:rPr>
              <w:t>Квартальная (Годовая)</w:t>
            </w:r>
          </w:p>
        </w:tc>
      </w:tr>
      <w:tr w:rsidR="007C7BA8" w:rsidRPr="00774AAD" w:rsidTr="007C7BA8">
        <w:trPr>
          <w:trHeight w:val="255"/>
        </w:trPr>
        <w:tc>
          <w:tcPr>
            <w:tcW w:w="5150" w:type="dxa"/>
            <w:tcBorders>
              <w:top w:val="nil"/>
              <w:left w:val="nil"/>
              <w:bottom w:val="nil"/>
              <w:right w:val="nil"/>
            </w:tcBorders>
            <w:vAlign w:val="center"/>
          </w:tcPr>
          <w:p w:rsidR="007C7BA8" w:rsidRPr="00774AAD" w:rsidRDefault="007C7BA8" w:rsidP="007C7BA8">
            <w:pPr>
              <w:spacing w:after="0" w:line="240" w:lineRule="auto"/>
              <w:rPr>
                <w:rFonts w:ascii="Georgia" w:eastAsia="Times New Roman" w:hAnsi="Georgia" w:cs="Arial CYR"/>
                <w:szCs w:val="20"/>
              </w:rPr>
            </w:pPr>
            <w:r w:rsidRPr="00774AAD">
              <w:rPr>
                <w:rFonts w:ascii="Georgia" w:eastAsia="Times New Roman" w:hAnsi="Georgia" w:cs="Arial CYR"/>
                <w:szCs w:val="20"/>
              </w:rPr>
              <w:t>г. Казань, ул. Шигабутдина Марджани, д. 24</w:t>
            </w:r>
          </w:p>
        </w:tc>
        <w:tc>
          <w:tcPr>
            <w:tcW w:w="236" w:type="dxa"/>
            <w:tcBorders>
              <w:top w:val="nil"/>
              <w:left w:val="nil"/>
              <w:bottom w:val="nil"/>
              <w:right w:val="nil"/>
            </w:tcBorders>
            <w:shd w:val="clear" w:color="auto" w:fill="auto"/>
            <w:noWrap/>
            <w:vAlign w:val="center"/>
            <w:hideMark/>
          </w:tcPr>
          <w:p w:rsidR="007C7BA8" w:rsidRPr="00774AAD" w:rsidRDefault="007C7BA8" w:rsidP="007C7BA8">
            <w:pPr>
              <w:spacing w:after="0" w:line="240" w:lineRule="auto"/>
              <w:jc w:val="right"/>
              <w:rPr>
                <w:rFonts w:ascii="Georgia" w:eastAsia="Times New Roman" w:hAnsi="Georgia" w:cs="Arial CYR"/>
                <w:szCs w:val="20"/>
              </w:rPr>
            </w:pPr>
          </w:p>
        </w:tc>
        <w:tc>
          <w:tcPr>
            <w:tcW w:w="3451" w:type="dxa"/>
            <w:gridSpan w:val="2"/>
            <w:tcBorders>
              <w:top w:val="nil"/>
              <w:left w:val="nil"/>
              <w:bottom w:val="nil"/>
              <w:right w:val="nil"/>
            </w:tcBorders>
            <w:shd w:val="clear" w:color="auto" w:fill="auto"/>
            <w:noWrap/>
            <w:vAlign w:val="center"/>
            <w:hideMark/>
          </w:tcPr>
          <w:p w:rsidR="007C7BA8" w:rsidRPr="00774AAD" w:rsidRDefault="007C7BA8" w:rsidP="007C7BA8">
            <w:pPr>
              <w:spacing w:after="0" w:line="240" w:lineRule="auto"/>
              <w:jc w:val="right"/>
              <w:rPr>
                <w:rFonts w:ascii="Georgia" w:eastAsia="Times New Roman" w:hAnsi="Georgia" w:cs="Arial CYR"/>
                <w:szCs w:val="20"/>
              </w:rPr>
            </w:pPr>
            <w:r w:rsidRPr="00774AAD">
              <w:rPr>
                <w:rFonts w:ascii="Georgia" w:eastAsia="Times New Roman" w:hAnsi="Georgia" w:cs="Arial CYR"/>
                <w:szCs w:val="20"/>
              </w:rPr>
              <w:t>тыс. руб.</w:t>
            </w:r>
          </w:p>
        </w:tc>
      </w:tr>
    </w:tbl>
    <w:p w:rsidR="007C7BA8" w:rsidRPr="00EE317B" w:rsidRDefault="007C7BA8" w:rsidP="003414EE">
      <w:pPr>
        <w:spacing w:after="120" w:line="240" w:lineRule="auto"/>
        <w:jc w:val="both"/>
        <w:rPr>
          <w:rFonts w:ascii="Georgia" w:hAnsi="Georgia"/>
          <w:sz w:val="24"/>
          <w:szCs w:val="24"/>
          <w:highlight w:val="yellow"/>
        </w:rPr>
      </w:pPr>
    </w:p>
    <w:tbl>
      <w:tblPr>
        <w:tblW w:w="8733" w:type="dxa"/>
        <w:tblLayout w:type="fixed"/>
        <w:tblCellMar>
          <w:left w:w="0" w:type="dxa"/>
          <w:right w:w="0" w:type="dxa"/>
        </w:tblCellMar>
        <w:tblLook w:val="04A0" w:firstRow="1" w:lastRow="0" w:firstColumn="1" w:lastColumn="0" w:noHBand="0" w:noVBand="1"/>
      </w:tblPr>
      <w:tblGrid>
        <w:gridCol w:w="737"/>
        <w:gridCol w:w="5245"/>
        <w:gridCol w:w="1050"/>
        <w:gridCol w:w="1701"/>
      </w:tblGrid>
      <w:tr w:rsidR="00273156" w:rsidRPr="00774AAD" w:rsidTr="00D47C29">
        <w:trPr>
          <w:trHeight w:val="102"/>
        </w:trPr>
        <w:tc>
          <w:tcPr>
            <w:tcW w:w="737" w:type="dxa"/>
            <w:tcBorders>
              <w:top w:val="nil"/>
              <w:left w:val="nil"/>
              <w:bottom w:val="single" w:sz="8" w:space="0" w:color="95B3D7"/>
              <w:right w:val="nil"/>
            </w:tcBorders>
            <w:shd w:val="clear" w:color="000000" w:fill="DBE5F1"/>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Номер строки</w:t>
            </w:r>
          </w:p>
        </w:tc>
        <w:tc>
          <w:tcPr>
            <w:tcW w:w="5245" w:type="dxa"/>
            <w:tcBorders>
              <w:top w:val="nil"/>
              <w:left w:val="nil"/>
              <w:bottom w:val="single" w:sz="8" w:space="0" w:color="95B3D7"/>
              <w:right w:val="nil"/>
            </w:tcBorders>
            <w:shd w:val="clear" w:color="000000" w:fill="DBE5F1"/>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Наименование статьи</w:t>
            </w:r>
          </w:p>
        </w:tc>
        <w:tc>
          <w:tcPr>
            <w:tcW w:w="1050" w:type="dxa"/>
            <w:tcBorders>
              <w:top w:val="nil"/>
              <w:left w:val="nil"/>
              <w:bottom w:val="single" w:sz="8" w:space="0" w:color="95B3D7"/>
              <w:right w:val="nil"/>
            </w:tcBorders>
            <w:shd w:val="clear" w:color="000000" w:fill="DBE5F1"/>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Данные на отчетную дату</w:t>
            </w:r>
          </w:p>
        </w:tc>
        <w:tc>
          <w:tcPr>
            <w:tcW w:w="1701" w:type="dxa"/>
            <w:tcBorders>
              <w:top w:val="nil"/>
              <w:left w:val="nil"/>
              <w:bottom w:val="single" w:sz="8" w:space="0" w:color="95B3D7"/>
              <w:right w:val="nil"/>
            </w:tcBorders>
            <w:shd w:val="clear" w:color="000000" w:fill="DBE5F1"/>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Данные на соответствующую отчетную дату прошлого года</w:t>
            </w:r>
          </w:p>
        </w:tc>
      </w:tr>
      <w:tr w:rsidR="00273156"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1</w:t>
            </w:r>
          </w:p>
        </w:tc>
        <w:tc>
          <w:tcPr>
            <w:tcW w:w="5245" w:type="dxa"/>
            <w:tcBorders>
              <w:top w:val="nil"/>
              <w:left w:val="nil"/>
              <w:bottom w:val="single" w:sz="8" w:space="0" w:color="95B3D7"/>
              <w:right w:val="nil"/>
            </w:tcBorders>
            <w:shd w:val="clear" w:color="auto" w:fill="auto"/>
            <w:vAlign w:val="center"/>
            <w:hideMark/>
          </w:tcPr>
          <w:p w:rsidR="00273156" w:rsidRPr="00774AAD" w:rsidRDefault="00273156"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2</w:t>
            </w:r>
          </w:p>
        </w:tc>
        <w:tc>
          <w:tcPr>
            <w:tcW w:w="1050" w:type="dxa"/>
            <w:tcBorders>
              <w:top w:val="nil"/>
              <w:left w:val="nil"/>
              <w:bottom w:val="single" w:sz="8" w:space="0" w:color="95B3D7"/>
              <w:right w:val="nil"/>
            </w:tcBorders>
            <w:shd w:val="clear" w:color="auto" w:fill="auto"/>
            <w:vAlign w:val="center"/>
            <w:hideMark/>
          </w:tcPr>
          <w:p w:rsidR="00273156" w:rsidRPr="00774AAD" w:rsidRDefault="00F21728"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3</w:t>
            </w:r>
          </w:p>
        </w:tc>
        <w:tc>
          <w:tcPr>
            <w:tcW w:w="1701" w:type="dxa"/>
            <w:tcBorders>
              <w:top w:val="nil"/>
              <w:left w:val="nil"/>
              <w:bottom w:val="single" w:sz="8" w:space="0" w:color="95B3D7"/>
              <w:right w:val="nil"/>
            </w:tcBorders>
            <w:shd w:val="clear" w:color="auto" w:fill="auto"/>
            <w:vAlign w:val="center"/>
            <w:hideMark/>
          </w:tcPr>
          <w:p w:rsidR="00273156" w:rsidRPr="00774AAD" w:rsidRDefault="00F21728" w:rsidP="00273156">
            <w:pPr>
              <w:spacing w:after="0" w:line="240" w:lineRule="auto"/>
              <w:jc w:val="center"/>
              <w:rPr>
                <w:rFonts w:ascii="Georgia" w:eastAsia="Times New Roman" w:hAnsi="Georgia" w:cs="Calibri"/>
                <w:b/>
                <w:bCs/>
                <w:color w:val="1F497D"/>
                <w:sz w:val="19"/>
                <w:szCs w:val="19"/>
              </w:rPr>
            </w:pPr>
            <w:r w:rsidRPr="00774AAD">
              <w:rPr>
                <w:rFonts w:ascii="Georgia" w:eastAsia="Times New Roman" w:hAnsi="Georgia" w:cs="Calibri"/>
                <w:b/>
                <w:bCs/>
                <w:color w:val="1F497D"/>
                <w:sz w:val="19"/>
                <w:szCs w:val="19"/>
              </w:rPr>
              <w:t>4</w:t>
            </w:r>
          </w:p>
        </w:tc>
      </w:tr>
      <w:tr w:rsidR="00273156" w:rsidRPr="00774AAD" w:rsidTr="00D47C29">
        <w:trPr>
          <w:trHeight w:hRule="exact" w:val="284"/>
        </w:trPr>
        <w:tc>
          <w:tcPr>
            <w:tcW w:w="8733" w:type="dxa"/>
            <w:gridSpan w:val="4"/>
            <w:tcBorders>
              <w:top w:val="single" w:sz="8" w:space="0" w:color="95B3D7"/>
              <w:left w:val="nil"/>
              <w:bottom w:val="single" w:sz="8" w:space="0" w:color="95B3D7"/>
            </w:tcBorders>
            <w:shd w:val="clear" w:color="000000" w:fill="376091"/>
            <w:vAlign w:val="center"/>
            <w:hideMark/>
          </w:tcPr>
          <w:p w:rsidR="00273156" w:rsidRPr="00774AAD" w:rsidRDefault="00273156" w:rsidP="00273156">
            <w:pPr>
              <w:spacing w:after="0" w:line="240" w:lineRule="auto"/>
              <w:rPr>
                <w:rFonts w:ascii="Georgia" w:eastAsia="Times New Roman" w:hAnsi="Georgia" w:cs="Calibri"/>
                <w:b/>
                <w:bCs/>
                <w:color w:val="FFFFFF"/>
                <w:sz w:val="19"/>
                <w:szCs w:val="19"/>
              </w:rPr>
            </w:pPr>
            <w:r w:rsidRPr="00774AAD">
              <w:rPr>
                <w:rFonts w:ascii="Georgia" w:eastAsia="Times New Roman" w:hAnsi="Georgia" w:cs="Calibri"/>
                <w:b/>
                <w:bCs/>
                <w:color w:val="FFFFFF"/>
                <w:sz w:val="19"/>
                <w:szCs w:val="19"/>
              </w:rPr>
              <w:t>I. АКТИВЫ</w:t>
            </w:r>
          </w:p>
        </w:tc>
      </w:tr>
      <w:tr w:rsidR="00591470" w:rsidRPr="00774AAD" w:rsidTr="00D47C29">
        <w:trPr>
          <w:trHeight w:val="92"/>
        </w:trPr>
        <w:tc>
          <w:tcPr>
            <w:tcW w:w="737" w:type="dxa"/>
            <w:tcBorders>
              <w:top w:val="single" w:sz="8" w:space="0" w:color="95B3D7"/>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 </w:t>
            </w:r>
          </w:p>
        </w:tc>
        <w:tc>
          <w:tcPr>
            <w:tcW w:w="5245" w:type="dxa"/>
            <w:tcBorders>
              <w:top w:val="single" w:sz="8" w:space="0" w:color="95B3D7"/>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Денежные средства</w:t>
            </w:r>
          </w:p>
        </w:tc>
        <w:tc>
          <w:tcPr>
            <w:tcW w:w="1050" w:type="dxa"/>
            <w:tcBorders>
              <w:top w:val="single" w:sz="8" w:space="0" w:color="95B3D7"/>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779 081</w:t>
            </w:r>
          </w:p>
        </w:tc>
        <w:tc>
          <w:tcPr>
            <w:tcW w:w="1701" w:type="dxa"/>
            <w:tcBorders>
              <w:top w:val="single" w:sz="8" w:space="0" w:color="95B3D7"/>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683 133</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Средства кредитных организаций в Центральном банке Российской Федерации</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1 519 937</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677 473</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2.1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Обязательные резервы</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125 399</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170 837</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Средства  в кредитных организациях</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479 817</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610 326</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4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Финансовые активы, оцениваемые по справедливой стоимости через прибыль или убыток</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99 153</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13 319</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5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Чистая  ссудная задолженность </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21 923 856</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20 302 447</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6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Чистые вложения в ценные бумаги и другие финансовые активы, имеющиеся в наличии для продажи </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1 470 894</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916 675</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6.1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Инвестиции в дочерние и зависимые организации</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7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Чистые вложения в  ценные бумаги,  удерживаемые до погашения</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182 495</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F85653">
            <w:pPr>
              <w:spacing w:after="0" w:line="240" w:lineRule="auto"/>
              <w:ind w:left="56"/>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935</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663</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8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Требование по текущему налогу на прибыль</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5 416</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14 </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889</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9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Отложенный налоговый актив</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112 589</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141</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887</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10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Основные средства, нематериальные активы и материальные запасы</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455 034</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451 798</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11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Прочие активы</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2 639 885</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2 677 736</w:t>
            </w:r>
          </w:p>
        </w:tc>
      </w:tr>
      <w:tr w:rsidR="00591470"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591470" w:rsidRPr="00774AAD" w:rsidRDefault="00591470"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12 </w:t>
            </w:r>
          </w:p>
        </w:tc>
        <w:tc>
          <w:tcPr>
            <w:tcW w:w="5245" w:type="dxa"/>
            <w:tcBorders>
              <w:top w:val="nil"/>
              <w:left w:val="nil"/>
              <w:bottom w:val="single" w:sz="8" w:space="0" w:color="95B3D7"/>
              <w:right w:val="nil"/>
            </w:tcBorders>
            <w:shd w:val="clear" w:color="auto" w:fill="auto"/>
            <w:vAlign w:val="center"/>
            <w:hideMark/>
          </w:tcPr>
          <w:p w:rsidR="00591470" w:rsidRPr="00774AAD" w:rsidRDefault="00591470"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Всего активов</w:t>
            </w:r>
          </w:p>
        </w:tc>
        <w:tc>
          <w:tcPr>
            <w:tcW w:w="1050"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29 668 157</w:t>
            </w:r>
          </w:p>
        </w:tc>
        <w:tc>
          <w:tcPr>
            <w:tcW w:w="1701" w:type="dxa"/>
            <w:tcBorders>
              <w:top w:val="nil"/>
              <w:left w:val="nil"/>
              <w:bottom w:val="single" w:sz="8" w:space="0" w:color="95B3D7"/>
              <w:right w:val="nil"/>
            </w:tcBorders>
            <w:shd w:val="clear" w:color="auto" w:fill="auto"/>
            <w:vAlign w:val="center"/>
            <w:hideMark/>
          </w:tcPr>
          <w:p w:rsidR="00591470" w:rsidRPr="00774AAD" w:rsidRDefault="00591470" w:rsidP="00591470">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27 425 346</w:t>
            </w:r>
          </w:p>
        </w:tc>
      </w:tr>
      <w:tr w:rsidR="00273156" w:rsidRPr="00774AAD" w:rsidTr="00D47C29">
        <w:trPr>
          <w:trHeight w:hRule="exact" w:val="284"/>
        </w:trPr>
        <w:tc>
          <w:tcPr>
            <w:tcW w:w="8733" w:type="dxa"/>
            <w:gridSpan w:val="4"/>
            <w:tcBorders>
              <w:top w:val="single" w:sz="8" w:space="0" w:color="95B3D7"/>
              <w:left w:val="nil"/>
              <w:bottom w:val="single" w:sz="8" w:space="0" w:color="95B3D7"/>
            </w:tcBorders>
            <w:shd w:val="clear" w:color="000000" w:fill="376091"/>
            <w:vAlign w:val="center"/>
            <w:hideMark/>
          </w:tcPr>
          <w:p w:rsidR="00273156" w:rsidRPr="00774AAD" w:rsidRDefault="00273156" w:rsidP="00DC3E9B">
            <w:pPr>
              <w:spacing w:after="0" w:line="240" w:lineRule="auto"/>
              <w:rPr>
                <w:rFonts w:ascii="Georgia" w:eastAsia="Times New Roman" w:hAnsi="Georgia" w:cs="Calibri"/>
                <w:b/>
                <w:bCs/>
                <w:color w:val="FFFFFF"/>
                <w:sz w:val="19"/>
                <w:szCs w:val="19"/>
              </w:rPr>
            </w:pPr>
            <w:r w:rsidRPr="00774AAD">
              <w:rPr>
                <w:rFonts w:ascii="Georgia" w:eastAsia="Times New Roman" w:hAnsi="Georgia" w:cs="Calibri"/>
                <w:b/>
                <w:bCs/>
                <w:color w:val="FFFFFF"/>
                <w:sz w:val="19"/>
                <w:szCs w:val="19"/>
              </w:rPr>
              <w:t>II. ПАССИВЫ</w:t>
            </w:r>
          </w:p>
        </w:tc>
      </w:tr>
      <w:tr w:rsidR="00774AAD" w:rsidRPr="00774AAD" w:rsidTr="00D47C29">
        <w:trPr>
          <w:trHeight w:val="92"/>
        </w:trPr>
        <w:tc>
          <w:tcPr>
            <w:tcW w:w="737"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13 </w:t>
            </w:r>
          </w:p>
        </w:tc>
        <w:tc>
          <w:tcPr>
            <w:tcW w:w="5245"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Кредиты, депозиты и прочие средства Центрального банка Российской Федерации</w:t>
            </w:r>
          </w:p>
        </w:tc>
        <w:tc>
          <w:tcPr>
            <w:tcW w:w="1050"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2 225 436</w:t>
            </w:r>
          </w:p>
        </w:tc>
        <w:tc>
          <w:tcPr>
            <w:tcW w:w="1701"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3 288 125</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14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Средства кредитных  организаций</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1 726 574</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2 095 201</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15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Средства клиентов, не являющихся кредитными организациями</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23 172 720</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18 513 313</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15.1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Вклады (средства) физических лиц и индивидуальных предпринимателей</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13 988 988</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11 258 475</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16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Финансовые обязательства, оцениваемые по справедливой стоимости через прибыль или убыток</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689</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682</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17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Выпущенные долговые обязательства</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336 308</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36 897</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18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Обязательство по текущему налогу на прибыль</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367</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1 838</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19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Отложенное налоговое обязательство</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40 533</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153</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307</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20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Прочие обязательства</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188 891</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213 556</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21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Резервы на возможные потери по условным обязательствам кредитного характера, прочим возможным потерям и операциям с резидентами офшорных зон</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31 252</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18 704</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22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Всего обязательств</w:t>
            </w:r>
          </w:p>
        </w:tc>
        <w:tc>
          <w:tcPr>
            <w:tcW w:w="1050"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27 722 081</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25 010 623</w:t>
            </w:r>
          </w:p>
        </w:tc>
      </w:tr>
    </w:tbl>
    <w:p w:rsidR="007E3246" w:rsidRDefault="007E3246"/>
    <w:p w:rsidR="00F85653" w:rsidRPr="00F85653" w:rsidRDefault="00F85653" w:rsidP="00F85653">
      <w:pPr>
        <w:spacing w:after="120" w:line="240" w:lineRule="auto"/>
        <w:rPr>
          <w:sz w:val="20"/>
          <w:szCs w:val="20"/>
        </w:rPr>
      </w:pPr>
    </w:p>
    <w:tbl>
      <w:tblPr>
        <w:tblW w:w="8875" w:type="dxa"/>
        <w:tblLayout w:type="fixed"/>
        <w:tblCellMar>
          <w:left w:w="0" w:type="dxa"/>
          <w:right w:w="0" w:type="dxa"/>
        </w:tblCellMar>
        <w:tblLook w:val="04A0" w:firstRow="1" w:lastRow="0" w:firstColumn="1" w:lastColumn="0" w:noHBand="0" w:noVBand="1"/>
      </w:tblPr>
      <w:tblGrid>
        <w:gridCol w:w="737"/>
        <w:gridCol w:w="5245"/>
        <w:gridCol w:w="1192"/>
        <w:gridCol w:w="1701"/>
      </w:tblGrid>
      <w:tr w:rsidR="00273156" w:rsidRPr="00774AAD" w:rsidTr="00D47C29">
        <w:trPr>
          <w:trHeight w:hRule="exact" w:val="284"/>
        </w:trPr>
        <w:tc>
          <w:tcPr>
            <w:tcW w:w="8875" w:type="dxa"/>
            <w:gridSpan w:val="4"/>
            <w:tcBorders>
              <w:top w:val="single" w:sz="8" w:space="0" w:color="95B3D7"/>
              <w:left w:val="nil"/>
              <w:bottom w:val="single" w:sz="8" w:space="0" w:color="95B3D7"/>
            </w:tcBorders>
            <w:shd w:val="clear" w:color="000000" w:fill="376091"/>
            <w:vAlign w:val="center"/>
            <w:hideMark/>
          </w:tcPr>
          <w:p w:rsidR="00273156" w:rsidRPr="00774AAD" w:rsidRDefault="00273156" w:rsidP="00273156">
            <w:pPr>
              <w:spacing w:after="0" w:line="240" w:lineRule="auto"/>
              <w:rPr>
                <w:rFonts w:ascii="Georgia" w:eastAsia="Times New Roman" w:hAnsi="Georgia" w:cs="Calibri"/>
                <w:b/>
                <w:bCs/>
                <w:color w:val="FFFFFF"/>
                <w:sz w:val="19"/>
                <w:szCs w:val="19"/>
              </w:rPr>
            </w:pPr>
            <w:r w:rsidRPr="00774AAD">
              <w:rPr>
                <w:rFonts w:ascii="Georgia" w:eastAsia="Times New Roman" w:hAnsi="Georgia" w:cs="Calibri"/>
                <w:b/>
                <w:bCs/>
                <w:color w:val="FFFFFF"/>
                <w:sz w:val="19"/>
                <w:szCs w:val="19"/>
              </w:rPr>
              <w:t>III. ИСТОЧНИКИ СОБСТВЕННЫХ СРЕДСТВ</w:t>
            </w:r>
          </w:p>
        </w:tc>
      </w:tr>
      <w:tr w:rsidR="00774AAD" w:rsidRPr="00774AAD" w:rsidTr="00D47C29">
        <w:trPr>
          <w:trHeight w:val="92"/>
        </w:trPr>
        <w:tc>
          <w:tcPr>
            <w:tcW w:w="737"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23 </w:t>
            </w:r>
          </w:p>
        </w:tc>
        <w:tc>
          <w:tcPr>
            <w:tcW w:w="5245"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Средства акционеров (участников)</w:t>
            </w:r>
          </w:p>
        </w:tc>
        <w:tc>
          <w:tcPr>
            <w:tcW w:w="1192"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2 000 000</w:t>
            </w:r>
          </w:p>
        </w:tc>
        <w:tc>
          <w:tcPr>
            <w:tcW w:w="1701"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2 000 000</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24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Собственные акции (доли), выкупленные у акционеров (участников)</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25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Эмиссионный доход</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26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Резервный фонд</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315 407</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308 069</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27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Переоценка по справедливой стоимости ценных бумаг, имеющихся в наличии для продажи, уменьшенная на отложенное налоговое обязательство (увеличенная на отложенный налоговый актив) </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-128 201</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-206 213</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28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Переоценка основных средств, уменьшенная на отложенное налоговое обязательство </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99 687</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64 570</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29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Нераспределенная прибыль (непокрытые убытки) прошлых лет</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223 299</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101</w:t>
            </w:r>
            <w:r w:rsidR="00F85653">
              <w:rPr>
                <w:rFonts w:ascii="Georgia" w:eastAsia="Times New Roman" w:hAnsi="Georgia" w:cs="Calibri"/>
                <w:color w:val="1F497D"/>
                <w:sz w:val="19"/>
                <w:szCs w:val="19"/>
              </w:rPr>
              <w:t xml:space="preserve"> </w:t>
            </w:r>
            <w:r w:rsidRPr="00774AAD">
              <w:rPr>
                <w:rFonts w:ascii="Georgia" w:eastAsia="Times New Roman" w:hAnsi="Georgia" w:cs="Calibri"/>
                <w:color w:val="1F497D"/>
                <w:sz w:val="19"/>
                <w:szCs w:val="19"/>
              </w:rPr>
              <w:t>541</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30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Неиспользованная прибыль (убыток) за отчетный период</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-564 116</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146 756</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31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Всего источников собственных средств </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1 946 076</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2 414 723</w:t>
            </w:r>
          </w:p>
        </w:tc>
      </w:tr>
      <w:tr w:rsidR="00273156" w:rsidRPr="00774AAD" w:rsidTr="00D47C29">
        <w:trPr>
          <w:trHeight w:hRule="exact" w:val="284"/>
        </w:trPr>
        <w:tc>
          <w:tcPr>
            <w:tcW w:w="8875" w:type="dxa"/>
            <w:gridSpan w:val="4"/>
            <w:tcBorders>
              <w:top w:val="single" w:sz="8" w:space="0" w:color="95B3D7"/>
              <w:left w:val="nil"/>
              <w:bottom w:val="single" w:sz="8" w:space="0" w:color="95B3D7"/>
            </w:tcBorders>
            <w:shd w:val="clear" w:color="000000" w:fill="376091"/>
            <w:vAlign w:val="center"/>
            <w:hideMark/>
          </w:tcPr>
          <w:p w:rsidR="00273156" w:rsidRPr="00774AAD" w:rsidRDefault="00273156" w:rsidP="00DC3E9B">
            <w:pPr>
              <w:spacing w:after="0" w:line="240" w:lineRule="auto"/>
              <w:rPr>
                <w:rFonts w:ascii="Georgia" w:eastAsia="Times New Roman" w:hAnsi="Georgia" w:cs="Calibri"/>
                <w:b/>
                <w:bCs/>
                <w:color w:val="FFFFFF"/>
                <w:sz w:val="19"/>
                <w:szCs w:val="19"/>
              </w:rPr>
            </w:pPr>
            <w:r w:rsidRPr="00774AAD">
              <w:rPr>
                <w:rFonts w:ascii="Georgia" w:eastAsia="Times New Roman" w:hAnsi="Georgia" w:cs="Calibri"/>
                <w:b/>
                <w:bCs/>
                <w:color w:val="FFFFFF"/>
                <w:sz w:val="19"/>
                <w:szCs w:val="19"/>
              </w:rPr>
              <w:t>IV. ВНЕБАЛАНСОВЫЕ ОБЯЗАТЕЛЬСТВА</w:t>
            </w:r>
          </w:p>
        </w:tc>
      </w:tr>
      <w:tr w:rsidR="00774AAD" w:rsidRPr="00774AAD" w:rsidTr="00D47C29">
        <w:trPr>
          <w:trHeight w:val="92"/>
        </w:trPr>
        <w:tc>
          <w:tcPr>
            <w:tcW w:w="737"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32 </w:t>
            </w:r>
          </w:p>
        </w:tc>
        <w:tc>
          <w:tcPr>
            <w:tcW w:w="5245"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Безотзывные обязательства кредитной организации</w:t>
            </w:r>
          </w:p>
        </w:tc>
        <w:tc>
          <w:tcPr>
            <w:tcW w:w="1192"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898 291</w:t>
            </w:r>
          </w:p>
        </w:tc>
        <w:tc>
          <w:tcPr>
            <w:tcW w:w="1701" w:type="dxa"/>
            <w:tcBorders>
              <w:top w:val="single" w:sz="8" w:space="0" w:color="95B3D7"/>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732 324</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33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Выданные кредитной организацией гарантии и поручительства</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1 364 877</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1 128 478</w:t>
            </w:r>
          </w:p>
        </w:tc>
      </w:tr>
      <w:tr w:rsidR="00774AAD" w:rsidRPr="00774AAD" w:rsidTr="00D47C29">
        <w:trPr>
          <w:trHeight w:val="82"/>
        </w:trPr>
        <w:tc>
          <w:tcPr>
            <w:tcW w:w="737" w:type="dxa"/>
            <w:tcBorders>
              <w:top w:val="nil"/>
              <w:left w:val="nil"/>
              <w:bottom w:val="single" w:sz="8" w:space="0" w:color="95B3D7"/>
              <w:right w:val="nil"/>
            </w:tcBorders>
            <w:shd w:val="clear" w:color="auto" w:fill="auto"/>
            <w:vAlign w:val="center"/>
            <w:hideMark/>
          </w:tcPr>
          <w:p w:rsidR="00774AAD" w:rsidRPr="00774AAD" w:rsidRDefault="00774AAD" w:rsidP="00273156">
            <w:pPr>
              <w:spacing w:after="0" w:line="240" w:lineRule="auto"/>
              <w:jc w:val="center"/>
              <w:rPr>
                <w:rFonts w:ascii="Georgia" w:eastAsia="Times New Roman" w:hAnsi="Georgia" w:cs="Calibri"/>
                <w:color w:val="1F497D"/>
                <w:sz w:val="19"/>
                <w:szCs w:val="19"/>
              </w:rPr>
            </w:pPr>
            <w:r w:rsidRPr="00774AAD">
              <w:rPr>
                <w:rFonts w:ascii="Georgia" w:eastAsia="Times New Roman" w:hAnsi="Georgia" w:cs="Calibri"/>
                <w:color w:val="1F497D"/>
                <w:sz w:val="19"/>
                <w:szCs w:val="19"/>
              </w:rPr>
              <w:t xml:space="preserve"> 34 </w:t>
            </w:r>
          </w:p>
        </w:tc>
        <w:tc>
          <w:tcPr>
            <w:tcW w:w="5245" w:type="dxa"/>
            <w:tcBorders>
              <w:top w:val="nil"/>
              <w:left w:val="nil"/>
              <w:bottom w:val="single" w:sz="8" w:space="0" w:color="95B3D7"/>
              <w:right w:val="nil"/>
            </w:tcBorders>
            <w:shd w:val="clear" w:color="auto" w:fill="auto"/>
            <w:vAlign w:val="center"/>
            <w:hideMark/>
          </w:tcPr>
          <w:p w:rsidR="00774AAD" w:rsidRPr="00774AAD" w:rsidRDefault="00774AAD" w:rsidP="009F58C0">
            <w:pPr>
              <w:spacing w:after="0" w:line="240" w:lineRule="auto"/>
              <w:rPr>
                <w:rFonts w:ascii="Georgia" w:eastAsia="Times New Roman" w:hAnsi="Georgia" w:cs="Calibri"/>
                <w:color w:val="1F497D"/>
                <w:sz w:val="19"/>
                <w:szCs w:val="19"/>
              </w:rPr>
            </w:pPr>
            <w:r w:rsidRPr="00774AAD">
              <w:rPr>
                <w:rFonts w:ascii="Georgia" w:eastAsia="Times New Roman" w:hAnsi="Georgia" w:cs="Calibri"/>
                <w:color w:val="1F497D"/>
                <w:sz w:val="19"/>
                <w:szCs w:val="19"/>
              </w:rPr>
              <w:t>Условные обязательства некредитного характера</w:t>
            </w:r>
          </w:p>
        </w:tc>
        <w:tc>
          <w:tcPr>
            <w:tcW w:w="1192"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c>
          <w:tcPr>
            <w:tcW w:w="1701" w:type="dxa"/>
            <w:tcBorders>
              <w:top w:val="nil"/>
              <w:left w:val="nil"/>
              <w:bottom w:val="single" w:sz="8" w:space="0" w:color="95B3D7"/>
              <w:right w:val="nil"/>
            </w:tcBorders>
            <w:shd w:val="clear" w:color="auto" w:fill="auto"/>
            <w:vAlign w:val="center"/>
            <w:hideMark/>
          </w:tcPr>
          <w:p w:rsidR="00774AAD" w:rsidRPr="00774AAD" w:rsidRDefault="00774AAD" w:rsidP="00774AAD">
            <w:pPr>
              <w:spacing w:after="0" w:line="240" w:lineRule="auto"/>
              <w:jc w:val="right"/>
              <w:rPr>
                <w:rFonts w:ascii="Georgia" w:eastAsia="Times New Roman" w:hAnsi="Georgia" w:cs="Calibri"/>
                <w:color w:val="1F497D"/>
                <w:sz w:val="19"/>
                <w:szCs w:val="19"/>
              </w:rPr>
            </w:pPr>
            <w:r w:rsidRPr="00774AAD">
              <w:rPr>
                <w:rFonts w:ascii="Georgia" w:eastAsia="Times New Roman" w:hAnsi="Georgia" w:cs="Calibri"/>
                <w:color w:val="1F497D"/>
                <w:sz w:val="19"/>
                <w:szCs w:val="19"/>
              </w:rPr>
              <w:t>0</w:t>
            </w:r>
          </w:p>
        </w:tc>
      </w:tr>
    </w:tbl>
    <w:p w:rsidR="006174FF" w:rsidRPr="00EE317B" w:rsidRDefault="006174FF" w:rsidP="006174FF">
      <w:pPr>
        <w:spacing w:after="120" w:line="240" w:lineRule="auto"/>
        <w:jc w:val="both"/>
        <w:rPr>
          <w:rFonts w:ascii="Georgia" w:hAnsi="Georgia"/>
          <w:sz w:val="24"/>
          <w:szCs w:val="24"/>
          <w:highlight w:val="yellow"/>
        </w:rPr>
      </w:pPr>
    </w:p>
    <w:p w:rsidR="006174FF" w:rsidRPr="00EE317B" w:rsidRDefault="006174FF" w:rsidP="006174FF">
      <w:pPr>
        <w:spacing w:after="120" w:line="240" w:lineRule="auto"/>
        <w:jc w:val="both"/>
        <w:rPr>
          <w:rFonts w:ascii="Georgia" w:hAnsi="Georgia"/>
          <w:sz w:val="24"/>
          <w:szCs w:val="24"/>
          <w:highlight w:val="yellow"/>
        </w:rPr>
      </w:pPr>
    </w:p>
    <w:p w:rsidR="00AC2FFC" w:rsidRPr="00774AAD" w:rsidRDefault="00AC2FFC" w:rsidP="006174FF">
      <w:pPr>
        <w:spacing w:after="120" w:line="240" w:lineRule="auto"/>
        <w:jc w:val="both"/>
        <w:rPr>
          <w:rFonts w:ascii="Georgia" w:hAnsi="Georgia"/>
          <w:sz w:val="24"/>
          <w:szCs w:val="24"/>
        </w:rPr>
      </w:pPr>
    </w:p>
    <w:p w:rsidR="006174FF" w:rsidRPr="00774AAD" w:rsidRDefault="006174FF" w:rsidP="00D47C29">
      <w:pPr>
        <w:pStyle w:val="2014"/>
        <w:jc w:val="left"/>
      </w:pPr>
      <w:r w:rsidRPr="00774AAD">
        <w:t xml:space="preserve">Председатель Правления </w:t>
      </w:r>
      <w:r w:rsidR="00AC2FFC" w:rsidRPr="00774AAD">
        <w:tab/>
      </w:r>
      <w:r w:rsidR="00AC2FFC" w:rsidRPr="00774AAD">
        <w:tab/>
      </w:r>
      <w:r w:rsidR="00AC2FFC" w:rsidRPr="00774AAD">
        <w:tab/>
      </w:r>
      <w:r w:rsidR="00AC2FFC" w:rsidRPr="00774AAD">
        <w:tab/>
      </w:r>
      <w:r w:rsidR="00AC2FFC" w:rsidRPr="00774AAD">
        <w:tab/>
      </w:r>
      <w:r w:rsidRPr="00774AAD">
        <w:t xml:space="preserve">М.Р. Зарипов </w:t>
      </w:r>
    </w:p>
    <w:p w:rsidR="008B6335" w:rsidRPr="00774AAD" w:rsidRDefault="008B6335" w:rsidP="009C38E0">
      <w:pPr>
        <w:pStyle w:val="2014"/>
      </w:pPr>
    </w:p>
    <w:p w:rsidR="008B6335" w:rsidRPr="00774AAD" w:rsidRDefault="008B6335" w:rsidP="009C38E0">
      <w:pPr>
        <w:pStyle w:val="2014"/>
      </w:pPr>
    </w:p>
    <w:p w:rsidR="006174FF" w:rsidRPr="00774AAD" w:rsidRDefault="006174FF" w:rsidP="00D47C29">
      <w:pPr>
        <w:pStyle w:val="2014"/>
        <w:jc w:val="left"/>
      </w:pPr>
      <w:r w:rsidRPr="00774AAD">
        <w:t xml:space="preserve">Главный бухгалтер </w:t>
      </w:r>
      <w:r w:rsidR="00AC2FFC" w:rsidRPr="00774AAD">
        <w:tab/>
      </w:r>
      <w:r w:rsidR="00AC2FFC" w:rsidRPr="00774AAD">
        <w:tab/>
      </w:r>
      <w:r w:rsidR="00AC2FFC" w:rsidRPr="00774AAD">
        <w:tab/>
      </w:r>
      <w:r w:rsidR="00AC2FFC" w:rsidRPr="00774AAD">
        <w:tab/>
      </w:r>
      <w:r w:rsidR="00AC2FFC" w:rsidRPr="00774AAD">
        <w:tab/>
      </w:r>
      <w:r w:rsidR="00AC2FFC" w:rsidRPr="00774AAD">
        <w:tab/>
      </w:r>
      <w:r w:rsidRPr="00774AAD">
        <w:t>Н.Р. Молева</w:t>
      </w:r>
    </w:p>
    <w:p w:rsidR="006174FF" w:rsidRPr="00EE317B" w:rsidRDefault="006174FF">
      <w:pPr>
        <w:rPr>
          <w:rFonts w:ascii="Georgia" w:eastAsia="Times New Roman" w:hAnsi="Georgia" w:cs="Arial CYR"/>
          <w:szCs w:val="20"/>
          <w:highlight w:val="yellow"/>
        </w:rPr>
      </w:pPr>
      <w:r w:rsidRPr="00EE317B">
        <w:rPr>
          <w:rFonts w:ascii="Georgia" w:eastAsia="Times New Roman" w:hAnsi="Georgia" w:cs="Arial CYR"/>
          <w:b/>
          <w:bCs/>
          <w:szCs w:val="20"/>
          <w:highlight w:val="yellow"/>
        </w:rPr>
        <w:br w:type="page"/>
      </w:r>
    </w:p>
    <w:p w:rsidR="006174FF" w:rsidRPr="00EE317B" w:rsidRDefault="006174FF" w:rsidP="006174FF">
      <w:pPr>
        <w:pStyle w:val="1"/>
        <w:spacing w:before="0" w:line="240" w:lineRule="auto"/>
        <w:rPr>
          <w:noProof/>
          <w:color w:val="00B050"/>
          <w:sz w:val="20"/>
          <w:szCs w:val="20"/>
          <w:highlight w:val="yellow"/>
        </w:rPr>
      </w:pPr>
      <w:r w:rsidRPr="00EE317B">
        <w:rPr>
          <w:b w:val="0"/>
          <w:bCs w:val="0"/>
          <w:noProof/>
          <w:color w:val="00B050"/>
          <w:sz w:val="20"/>
          <w:szCs w:val="20"/>
          <w:highlight w:val="yellow"/>
        </w:rPr>
        <w:lastRenderedPageBreak/>
        <w:t xml:space="preserve"> </w:t>
      </w:r>
    </w:p>
    <w:p w:rsidR="006174FF" w:rsidRPr="00F50E1C" w:rsidRDefault="006174FF" w:rsidP="006174FF">
      <w:pPr>
        <w:pStyle w:val="1"/>
        <w:spacing w:before="0" w:line="240" w:lineRule="auto"/>
        <w:rPr>
          <w:noProof/>
          <w:color w:val="00B050"/>
          <w:sz w:val="40"/>
        </w:rPr>
      </w:pPr>
      <w:bookmarkStart w:id="62" w:name="_Toc448145489"/>
      <w:r w:rsidRPr="00F50E1C">
        <w:rPr>
          <w:noProof/>
          <w:color w:val="00B050"/>
          <w:sz w:val="40"/>
        </w:rPr>
        <w:t>Отчет о прибылях и убытках</w:t>
      </w:r>
      <w:bookmarkEnd w:id="62"/>
    </w:p>
    <w:p w:rsidR="006174FF" w:rsidRPr="00F50E1C" w:rsidRDefault="006174FF" w:rsidP="006174FF">
      <w:pPr>
        <w:pStyle w:val="1"/>
        <w:spacing w:before="0" w:line="240" w:lineRule="auto"/>
        <w:rPr>
          <w:noProof/>
          <w:color w:val="00B050"/>
          <w:sz w:val="20"/>
          <w:szCs w:val="20"/>
        </w:rPr>
      </w:pPr>
    </w:p>
    <w:p w:rsidR="006174FF" w:rsidRPr="00F50E1C" w:rsidRDefault="006174FF" w:rsidP="006174FF">
      <w:pPr>
        <w:spacing w:after="0" w:line="240" w:lineRule="auto"/>
        <w:rPr>
          <w:rFonts w:ascii="Georgia" w:hAnsi="Georgia"/>
          <w:b/>
          <w:i/>
          <w:color w:val="365F91" w:themeColor="accent1" w:themeShade="BF"/>
          <w:sz w:val="28"/>
          <w:szCs w:val="24"/>
        </w:rPr>
      </w:pPr>
      <w:r w:rsidRPr="00F50E1C">
        <w:rPr>
          <w:rFonts w:ascii="Georgia" w:hAnsi="Georgia"/>
          <w:b/>
          <w:i/>
          <w:color w:val="365F91" w:themeColor="accent1" w:themeShade="BF"/>
          <w:sz w:val="28"/>
          <w:szCs w:val="24"/>
        </w:rPr>
        <w:t>(публикуемая форма)</w:t>
      </w:r>
    </w:p>
    <w:p w:rsidR="006174FF" w:rsidRPr="00F50E1C" w:rsidRDefault="009F7F2D" w:rsidP="006174FF">
      <w:pPr>
        <w:spacing w:after="0" w:line="240" w:lineRule="auto"/>
        <w:rPr>
          <w:rFonts w:ascii="Georgia" w:hAnsi="Georgia"/>
          <w:b/>
          <w:i/>
          <w:color w:val="365F91" w:themeColor="accent1" w:themeShade="BF"/>
          <w:sz w:val="28"/>
          <w:szCs w:val="24"/>
        </w:rPr>
      </w:pPr>
      <w:r w:rsidRPr="00F50E1C">
        <w:rPr>
          <w:rFonts w:ascii="Georgia" w:hAnsi="Georgia"/>
          <w:b/>
          <w:i/>
          <w:color w:val="365F91" w:themeColor="accent1" w:themeShade="BF"/>
          <w:sz w:val="28"/>
          <w:szCs w:val="24"/>
        </w:rPr>
        <w:t>за</w:t>
      </w:r>
      <w:r w:rsidR="006174FF" w:rsidRPr="00F50E1C">
        <w:rPr>
          <w:rFonts w:ascii="Georgia" w:hAnsi="Georgia"/>
          <w:b/>
          <w:i/>
          <w:color w:val="365F91" w:themeColor="accent1" w:themeShade="BF"/>
          <w:sz w:val="28"/>
          <w:szCs w:val="24"/>
        </w:rPr>
        <w:t xml:space="preserve"> 201</w:t>
      </w:r>
      <w:r w:rsidR="00774AAD" w:rsidRPr="00F50E1C">
        <w:rPr>
          <w:rFonts w:ascii="Georgia" w:hAnsi="Georgia"/>
          <w:b/>
          <w:i/>
          <w:color w:val="365F91" w:themeColor="accent1" w:themeShade="BF"/>
          <w:sz w:val="28"/>
          <w:szCs w:val="24"/>
        </w:rPr>
        <w:t>5</w:t>
      </w:r>
      <w:r w:rsidR="006174FF" w:rsidRPr="00F50E1C">
        <w:rPr>
          <w:rFonts w:ascii="Georgia" w:hAnsi="Georgia"/>
          <w:b/>
          <w:i/>
          <w:color w:val="365F91" w:themeColor="accent1" w:themeShade="BF"/>
          <w:sz w:val="28"/>
          <w:szCs w:val="24"/>
        </w:rPr>
        <w:t xml:space="preserve"> год</w:t>
      </w:r>
    </w:p>
    <w:p w:rsidR="006174FF" w:rsidRPr="00EE317B" w:rsidRDefault="006174FF" w:rsidP="006174FF">
      <w:pPr>
        <w:spacing w:after="120" w:line="240" w:lineRule="auto"/>
        <w:jc w:val="both"/>
        <w:rPr>
          <w:rFonts w:ascii="Georgia" w:hAnsi="Georgia"/>
          <w:sz w:val="24"/>
          <w:szCs w:val="24"/>
          <w:highlight w:val="yellow"/>
        </w:rPr>
      </w:pPr>
    </w:p>
    <w:p w:rsidR="006174FF" w:rsidRPr="00F50E1C" w:rsidRDefault="006174FF" w:rsidP="006174FF">
      <w:pPr>
        <w:spacing w:after="120" w:line="240" w:lineRule="auto"/>
        <w:jc w:val="both"/>
        <w:rPr>
          <w:rFonts w:ascii="Georgia" w:hAnsi="Georgia"/>
          <w:sz w:val="24"/>
          <w:szCs w:val="24"/>
        </w:rPr>
      </w:pPr>
    </w:p>
    <w:tbl>
      <w:tblPr>
        <w:tblW w:w="8837" w:type="dxa"/>
        <w:tblInd w:w="-34" w:type="dxa"/>
        <w:tblLook w:val="04A0" w:firstRow="1" w:lastRow="0" w:firstColumn="1" w:lastColumn="0" w:noHBand="0" w:noVBand="1"/>
      </w:tblPr>
      <w:tblGrid>
        <w:gridCol w:w="5150"/>
        <w:gridCol w:w="236"/>
        <w:gridCol w:w="3437"/>
        <w:gridCol w:w="14"/>
      </w:tblGrid>
      <w:tr w:rsidR="006174FF" w:rsidRPr="00F50E1C" w:rsidTr="002C23CD">
        <w:trPr>
          <w:gridAfter w:val="1"/>
          <w:wAfter w:w="14" w:type="dxa"/>
          <w:trHeight w:val="255"/>
        </w:trPr>
        <w:tc>
          <w:tcPr>
            <w:tcW w:w="5150" w:type="dxa"/>
            <w:tcBorders>
              <w:top w:val="nil"/>
              <w:left w:val="nil"/>
              <w:bottom w:val="nil"/>
              <w:right w:val="nil"/>
            </w:tcBorders>
            <w:vAlign w:val="center"/>
          </w:tcPr>
          <w:p w:rsidR="006174FF" w:rsidRPr="00F50E1C" w:rsidRDefault="006174FF" w:rsidP="002C23CD">
            <w:pPr>
              <w:spacing w:after="0" w:line="240" w:lineRule="auto"/>
              <w:rPr>
                <w:rFonts w:ascii="Georgia" w:eastAsia="Times New Roman" w:hAnsi="Georgia" w:cs="Arial CYR"/>
                <w:szCs w:val="20"/>
              </w:rPr>
            </w:pPr>
            <w:r w:rsidRPr="00F50E1C">
              <w:rPr>
                <w:rFonts w:ascii="Georgia" w:eastAsia="Times New Roman" w:hAnsi="Georgia" w:cs="Arial CYR"/>
                <w:szCs w:val="20"/>
              </w:rPr>
              <w:t xml:space="preserve">Кредитной организации </w:t>
            </w:r>
          </w:p>
          <w:p w:rsidR="006174FF" w:rsidRPr="00F50E1C" w:rsidRDefault="00774AAD" w:rsidP="002C23CD">
            <w:pPr>
              <w:spacing w:after="0" w:line="240" w:lineRule="auto"/>
              <w:rPr>
                <w:rFonts w:ascii="Georgia" w:eastAsia="Times New Roman" w:hAnsi="Georgia" w:cs="Arial CYR"/>
                <w:szCs w:val="20"/>
              </w:rPr>
            </w:pPr>
            <w:r w:rsidRPr="00F50E1C">
              <w:rPr>
                <w:rFonts w:ascii="Georgia" w:eastAsia="Times New Roman" w:hAnsi="Georgia" w:cs="Arial CYR"/>
                <w:szCs w:val="20"/>
              </w:rPr>
              <w:t>П</w:t>
            </w:r>
            <w:r w:rsidR="006174FF" w:rsidRPr="00F50E1C">
              <w:rPr>
                <w:rFonts w:ascii="Georgia" w:eastAsia="Times New Roman" w:hAnsi="Georgia" w:cs="Arial CYR"/>
                <w:szCs w:val="20"/>
              </w:rPr>
              <w:t>АО «ИнтехБанк»</w:t>
            </w:r>
          </w:p>
        </w:tc>
        <w:tc>
          <w:tcPr>
            <w:tcW w:w="3673" w:type="dxa"/>
            <w:gridSpan w:val="2"/>
            <w:tcBorders>
              <w:top w:val="nil"/>
              <w:left w:val="nil"/>
              <w:bottom w:val="nil"/>
              <w:right w:val="nil"/>
            </w:tcBorders>
            <w:shd w:val="clear" w:color="auto" w:fill="auto"/>
            <w:noWrap/>
            <w:vAlign w:val="bottom"/>
            <w:hideMark/>
          </w:tcPr>
          <w:p w:rsidR="006174FF" w:rsidRPr="00F50E1C" w:rsidRDefault="006174FF" w:rsidP="002C23CD">
            <w:pPr>
              <w:spacing w:after="0" w:line="240" w:lineRule="auto"/>
              <w:jc w:val="right"/>
              <w:rPr>
                <w:rFonts w:ascii="Georgia" w:eastAsia="Times New Roman" w:hAnsi="Georgia" w:cs="Arial CYR"/>
                <w:szCs w:val="20"/>
              </w:rPr>
            </w:pPr>
            <w:r w:rsidRPr="00F50E1C">
              <w:rPr>
                <w:rFonts w:ascii="Georgia" w:eastAsia="Times New Roman" w:hAnsi="Georgia" w:cs="Arial CYR"/>
                <w:szCs w:val="20"/>
              </w:rPr>
              <w:t>Код формы по ОКУД 040980</w:t>
            </w:r>
            <w:r w:rsidR="002C23CD" w:rsidRPr="00F50E1C">
              <w:rPr>
                <w:rFonts w:ascii="Georgia" w:eastAsia="Times New Roman" w:hAnsi="Georgia" w:cs="Arial CYR"/>
                <w:szCs w:val="20"/>
              </w:rPr>
              <w:t>7</w:t>
            </w:r>
          </w:p>
        </w:tc>
      </w:tr>
      <w:tr w:rsidR="006174FF" w:rsidRPr="00F50E1C" w:rsidTr="002C23CD">
        <w:trPr>
          <w:gridAfter w:val="1"/>
          <w:wAfter w:w="14" w:type="dxa"/>
          <w:trHeight w:val="255"/>
        </w:trPr>
        <w:tc>
          <w:tcPr>
            <w:tcW w:w="5150" w:type="dxa"/>
            <w:tcBorders>
              <w:top w:val="nil"/>
              <w:left w:val="nil"/>
              <w:bottom w:val="nil"/>
              <w:right w:val="nil"/>
            </w:tcBorders>
            <w:vAlign w:val="center"/>
          </w:tcPr>
          <w:p w:rsidR="006174FF" w:rsidRPr="00F50E1C" w:rsidRDefault="006174FF" w:rsidP="002C23CD">
            <w:pPr>
              <w:spacing w:after="0" w:line="240" w:lineRule="auto"/>
              <w:rPr>
                <w:rFonts w:ascii="Georgia" w:eastAsia="Times New Roman" w:hAnsi="Georgia" w:cs="Arial CYR"/>
                <w:szCs w:val="20"/>
              </w:rPr>
            </w:pPr>
            <w:r w:rsidRPr="00F50E1C">
              <w:rPr>
                <w:rFonts w:ascii="Georgia" w:eastAsia="Times New Roman" w:hAnsi="Georgia" w:cs="Arial CYR"/>
                <w:szCs w:val="20"/>
              </w:rPr>
              <w:t xml:space="preserve">Почтовый адрес: </w:t>
            </w:r>
          </w:p>
        </w:tc>
        <w:tc>
          <w:tcPr>
            <w:tcW w:w="3673" w:type="dxa"/>
            <w:gridSpan w:val="2"/>
            <w:tcBorders>
              <w:top w:val="nil"/>
              <w:left w:val="nil"/>
              <w:bottom w:val="nil"/>
              <w:right w:val="nil"/>
            </w:tcBorders>
            <w:shd w:val="clear" w:color="auto" w:fill="auto"/>
            <w:noWrap/>
            <w:vAlign w:val="center"/>
            <w:hideMark/>
          </w:tcPr>
          <w:p w:rsidR="006174FF" w:rsidRPr="00F50E1C" w:rsidRDefault="006174FF" w:rsidP="002C23CD">
            <w:pPr>
              <w:spacing w:after="0" w:line="240" w:lineRule="auto"/>
              <w:jc w:val="right"/>
              <w:rPr>
                <w:rFonts w:ascii="Georgia" w:eastAsia="Times New Roman" w:hAnsi="Georgia" w:cs="Arial CYR"/>
                <w:szCs w:val="20"/>
              </w:rPr>
            </w:pPr>
            <w:r w:rsidRPr="00F50E1C">
              <w:rPr>
                <w:rFonts w:ascii="Georgia" w:eastAsia="Times New Roman" w:hAnsi="Georgia" w:cs="Arial CYR"/>
                <w:szCs w:val="20"/>
              </w:rPr>
              <w:t>Квартальная (Годовая)</w:t>
            </w:r>
          </w:p>
        </w:tc>
      </w:tr>
      <w:tr w:rsidR="006174FF" w:rsidRPr="00F50E1C" w:rsidTr="002C23CD">
        <w:trPr>
          <w:trHeight w:val="255"/>
        </w:trPr>
        <w:tc>
          <w:tcPr>
            <w:tcW w:w="5150" w:type="dxa"/>
            <w:tcBorders>
              <w:top w:val="nil"/>
              <w:left w:val="nil"/>
              <w:bottom w:val="nil"/>
              <w:right w:val="nil"/>
            </w:tcBorders>
            <w:vAlign w:val="center"/>
          </w:tcPr>
          <w:p w:rsidR="006174FF" w:rsidRPr="00F50E1C" w:rsidRDefault="006174FF" w:rsidP="002C23CD">
            <w:pPr>
              <w:spacing w:after="0" w:line="240" w:lineRule="auto"/>
              <w:rPr>
                <w:rFonts w:ascii="Georgia" w:eastAsia="Times New Roman" w:hAnsi="Georgia" w:cs="Arial CYR"/>
                <w:szCs w:val="20"/>
              </w:rPr>
            </w:pPr>
            <w:r w:rsidRPr="00F50E1C">
              <w:rPr>
                <w:rFonts w:ascii="Georgia" w:eastAsia="Times New Roman" w:hAnsi="Georgia" w:cs="Arial CYR"/>
                <w:szCs w:val="20"/>
              </w:rPr>
              <w:t>г. Казань, ул. Шигабутдина Марджани, д. 24</w:t>
            </w:r>
          </w:p>
        </w:tc>
        <w:tc>
          <w:tcPr>
            <w:tcW w:w="236" w:type="dxa"/>
            <w:tcBorders>
              <w:top w:val="nil"/>
              <w:left w:val="nil"/>
              <w:bottom w:val="nil"/>
              <w:right w:val="nil"/>
            </w:tcBorders>
            <w:shd w:val="clear" w:color="auto" w:fill="auto"/>
            <w:noWrap/>
            <w:vAlign w:val="center"/>
            <w:hideMark/>
          </w:tcPr>
          <w:p w:rsidR="006174FF" w:rsidRPr="00F50E1C" w:rsidRDefault="006174FF" w:rsidP="002C23CD">
            <w:pPr>
              <w:spacing w:after="0" w:line="240" w:lineRule="auto"/>
              <w:jc w:val="right"/>
              <w:rPr>
                <w:rFonts w:ascii="Georgia" w:eastAsia="Times New Roman" w:hAnsi="Georgia" w:cs="Arial CYR"/>
                <w:szCs w:val="20"/>
              </w:rPr>
            </w:pPr>
          </w:p>
        </w:tc>
        <w:tc>
          <w:tcPr>
            <w:tcW w:w="3451" w:type="dxa"/>
            <w:gridSpan w:val="2"/>
            <w:tcBorders>
              <w:top w:val="nil"/>
              <w:left w:val="nil"/>
              <w:bottom w:val="nil"/>
              <w:right w:val="nil"/>
            </w:tcBorders>
            <w:shd w:val="clear" w:color="auto" w:fill="auto"/>
            <w:noWrap/>
            <w:vAlign w:val="center"/>
            <w:hideMark/>
          </w:tcPr>
          <w:p w:rsidR="006174FF" w:rsidRPr="00F50E1C" w:rsidRDefault="006174FF" w:rsidP="002C23CD">
            <w:pPr>
              <w:spacing w:after="0" w:line="240" w:lineRule="auto"/>
              <w:jc w:val="right"/>
              <w:rPr>
                <w:rFonts w:ascii="Georgia" w:eastAsia="Times New Roman" w:hAnsi="Georgia" w:cs="Arial CYR"/>
                <w:szCs w:val="20"/>
              </w:rPr>
            </w:pPr>
            <w:r w:rsidRPr="00F50E1C">
              <w:rPr>
                <w:rFonts w:ascii="Georgia" w:eastAsia="Times New Roman" w:hAnsi="Georgia" w:cs="Arial CYR"/>
                <w:szCs w:val="20"/>
              </w:rPr>
              <w:t>тыс. руб.</w:t>
            </w:r>
          </w:p>
        </w:tc>
      </w:tr>
    </w:tbl>
    <w:p w:rsidR="006174FF" w:rsidRPr="00F50E1C" w:rsidRDefault="006174FF" w:rsidP="006174FF">
      <w:pPr>
        <w:spacing w:after="120" w:line="240" w:lineRule="auto"/>
        <w:jc w:val="both"/>
        <w:rPr>
          <w:rFonts w:ascii="Georgia" w:hAnsi="Georgia"/>
          <w:sz w:val="24"/>
          <w:szCs w:val="24"/>
        </w:rPr>
      </w:pPr>
    </w:p>
    <w:tbl>
      <w:tblPr>
        <w:tblW w:w="8647" w:type="dxa"/>
        <w:tblLayout w:type="fixed"/>
        <w:tblCellMar>
          <w:left w:w="0" w:type="dxa"/>
          <w:right w:w="0" w:type="dxa"/>
        </w:tblCellMar>
        <w:tblLook w:val="04A0" w:firstRow="1" w:lastRow="0" w:firstColumn="1" w:lastColumn="0" w:noHBand="0" w:noVBand="1"/>
      </w:tblPr>
      <w:tblGrid>
        <w:gridCol w:w="764"/>
        <w:gridCol w:w="5190"/>
        <w:gridCol w:w="1276"/>
        <w:gridCol w:w="1417"/>
      </w:tblGrid>
      <w:tr w:rsidR="002C23CD" w:rsidRPr="00F50E1C" w:rsidTr="00F85653">
        <w:trPr>
          <w:trHeight w:val="102"/>
        </w:trPr>
        <w:tc>
          <w:tcPr>
            <w:tcW w:w="764" w:type="dxa"/>
            <w:tcBorders>
              <w:top w:val="nil"/>
              <w:left w:val="nil"/>
              <w:bottom w:val="single" w:sz="8" w:space="0" w:color="95B3D7"/>
              <w:right w:val="nil"/>
            </w:tcBorders>
            <w:shd w:val="clear" w:color="000000" w:fill="DBE5F1"/>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Номер строки</w:t>
            </w:r>
          </w:p>
        </w:tc>
        <w:tc>
          <w:tcPr>
            <w:tcW w:w="5190" w:type="dxa"/>
            <w:tcBorders>
              <w:top w:val="nil"/>
              <w:left w:val="nil"/>
              <w:bottom w:val="single" w:sz="8" w:space="0" w:color="95B3D7"/>
              <w:right w:val="nil"/>
            </w:tcBorders>
            <w:shd w:val="clear" w:color="000000" w:fill="DBE5F1"/>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Наименование статьи</w:t>
            </w:r>
          </w:p>
        </w:tc>
        <w:tc>
          <w:tcPr>
            <w:tcW w:w="1276" w:type="dxa"/>
            <w:tcBorders>
              <w:top w:val="nil"/>
              <w:left w:val="nil"/>
              <w:bottom w:val="single" w:sz="8" w:space="0" w:color="95B3D7"/>
              <w:right w:val="nil"/>
            </w:tcBorders>
            <w:shd w:val="clear" w:color="000000" w:fill="DBE5F1"/>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Данные за отчетный период</w:t>
            </w:r>
          </w:p>
        </w:tc>
        <w:tc>
          <w:tcPr>
            <w:tcW w:w="1417" w:type="dxa"/>
            <w:tcBorders>
              <w:top w:val="nil"/>
              <w:left w:val="nil"/>
              <w:bottom w:val="single" w:sz="8" w:space="0" w:color="95B3D7"/>
              <w:right w:val="nil"/>
            </w:tcBorders>
            <w:shd w:val="clear" w:color="000000" w:fill="DBE5F1"/>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Данные за соответствующий период прошлого года</w:t>
            </w:r>
          </w:p>
        </w:tc>
      </w:tr>
      <w:tr w:rsidR="002C23CD"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1</w:t>
            </w:r>
          </w:p>
        </w:tc>
        <w:tc>
          <w:tcPr>
            <w:tcW w:w="5190" w:type="dxa"/>
            <w:tcBorders>
              <w:top w:val="nil"/>
              <w:left w:val="nil"/>
              <w:bottom w:val="single" w:sz="8" w:space="0" w:color="95B3D7"/>
              <w:right w:val="nil"/>
            </w:tcBorders>
            <w:shd w:val="clear" w:color="auto" w:fill="auto"/>
            <w:vAlign w:val="center"/>
            <w:hideMark/>
          </w:tcPr>
          <w:p w:rsidR="002C23CD" w:rsidRPr="00F50E1C" w:rsidRDefault="002C23CD"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2</w:t>
            </w:r>
          </w:p>
        </w:tc>
        <w:tc>
          <w:tcPr>
            <w:tcW w:w="1276" w:type="dxa"/>
            <w:tcBorders>
              <w:top w:val="nil"/>
              <w:left w:val="nil"/>
              <w:bottom w:val="single" w:sz="8" w:space="0" w:color="95B3D7"/>
              <w:right w:val="nil"/>
            </w:tcBorders>
            <w:shd w:val="clear" w:color="auto" w:fill="auto"/>
            <w:vAlign w:val="center"/>
            <w:hideMark/>
          </w:tcPr>
          <w:p w:rsidR="002C23CD" w:rsidRPr="00F50E1C" w:rsidRDefault="00F21728"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3</w:t>
            </w:r>
          </w:p>
        </w:tc>
        <w:tc>
          <w:tcPr>
            <w:tcW w:w="1417" w:type="dxa"/>
            <w:tcBorders>
              <w:top w:val="nil"/>
              <w:left w:val="nil"/>
              <w:bottom w:val="single" w:sz="8" w:space="0" w:color="95B3D7"/>
              <w:right w:val="nil"/>
            </w:tcBorders>
            <w:shd w:val="clear" w:color="auto" w:fill="auto"/>
            <w:vAlign w:val="center"/>
            <w:hideMark/>
          </w:tcPr>
          <w:p w:rsidR="002C23CD" w:rsidRPr="00F50E1C" w:rsidRDefault="00F21728" w:rsidP="002C23CD">
            <w:pPr>
              <w:spacing w:after="0" w:line="240" w:lineRule="auto"/>
              <w:jc w:val="center"/>
              <w:rPr>
                <w:rFonts w:ascii="Georgia" w:eastAsia="Times New Roman" w:hAnsi="Georgia" w:cs="Calibri"/>
                <w:b/>
                <w:bCs/>
                <w:color w:val="1F497D"/>
                <w:sz w:val="19"/>
                <w:szCs w:val="19"/>
              </w:rPr>
            </w:pPr>
            <w:r w:rsidRPr="00F50E1C">
              <w:rPr>
                <w:rFonts w:ascii="Georgia" w:eastAsia="Times New Roman" w:hAnsi="Georgia" w:cs="Calibri"/>
                <w:b/>
                <w:bCs/>
                <w:color w:val="1F497D"/>
                <w:sz w:val="19"/>
                <w:szCs w:val="19"/>
              </w:rPr>
              <w:t>4</w:t>
            </w:r>
          </w:p>
        </w:tc>
      </w:tr>
      <w:tr w:rsidR="00774AAD"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774AAD" w:rsidRPr="00F50E1C" w:rsidRDefault="00774AAD"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 </w:t>
            </w:r>
          </w:p>
        </w:tc>
        <w:tc>
          <w:tcPr>
            <w:tcW w:w="5190" w:type="dxa"/>
            <w:tcBorders>
              <w:top w:val="nil"/>
              <w:left w:val="nil"/>
              <w:bottom w:val="single" w:sz="8" w:space="0" w:color="95B3D7"/>
              <w:right w:val="nil"/>
            </w:tcBorders>
            <w:shd w:val="clear" w:color="auto" w:fill="auto"/>
            <w:vAlign w:val="center"/>
            <w:hideMark/>
          </w:tcPr>
          <w:p w:rsidR="00774AAD" w:rsidRPr="00F50E1C" w:rsidRDefault="00774AAD"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Процентные доходы, всего,</w:t>
            </w:r>
            <w:r w:rsidRPr="00F50E1C">
              <w:rPr>
                <w:rFonts w:ascii="Georgia" w:eastAsia="Times New Roman" w:hAnsi="Georgia" w:cs="Calibri"/>
                <w:color w:val="1F497D"/>
                <w:sz w:val="19"/>
                <w:szCs w:val="19"/>
              </w:rPr>
              <w:br/>
              <w:t xml:space="preserve">в том числе: </w:t>
            </w:r>
          </w:p>
        </w:tc>
        <w:tc>
          <w:tcPr>
            <w:tcW w:w="1276" w:type="dxa"/>
            <w:tcBorders>
              <w:top w:val="nil"/>
              <w:left w:val="nil"/>
              <w:bottom w:val="single" w:sz="8" w:space="0" w:color="95B3D7"/>
              <w:right w:val="nil"/>
            </w:tcBorders>
            <w:shd w:val="clear" w:color="auto" w:fill="auto"/>
            <w:vAlign w:val="center"/>
            <w:hideMark/>
          </w:tcPr>
          <w:p w:rsidR="00774AAD" w:rsidRPr="00F50E1C" w:rsidRDefault="00774AAD"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3 913 293</w:t>
            </w:r>
          </w:p>
        </w:tc>
        <w:tc>
          <w:tcPr>
            <w:tcW w:w="1417" w:type="dxa"/>
            <w:tcBorders>
              <w:top w:val="nil"/>
              <w:left w:val="nil"/>
              <w:bottom w:val="single" w:sz="8" w:space="0" w:color="95B3D7"/>
              <w:right w:val="nil"/>
            </w:tcBorders>
            <w:shd w:val="clear" w:color="auto" w:fill="auto"/>
            <w:vAlign w:val="center"/>
            <w:hideMark/>
          </w:tcPr>
          <w:p w:rsidR="00774AAD" w:rsidRPr="00F50E1C" w:rsidRDefault="00774AAD"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2 268 310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1.1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от размещения средств в кредитных организациях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52 780</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14 604</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1.2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от ссуд, предоставленных клиентам, не являющимся кредитными организациями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3 682 584</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2 144 999</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1.3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от оказания услуг по финансовой аренде (лизингу)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1.4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от вложений в ценные бумаги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177 929</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108 707</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Процентные расходы, всего,</w:t>
            </w:r>
            <w:r w:rsidRPr="00F50E1C">
              <w:rPr>
                <w:rFonts w:ascii="Georgia" w:eastAsia="Times New Roman" w:hAnsi="Georgia" w:cs="Calibri"/>
                <w:color w:val="1F497D"/>
                <w:sz w:val="19"/>
                <w:szCs w:val="19"/>
              </w:rPr>
              <w:br/>
              <w:t xml:space="preserve">в том числе: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3 187 137</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1 720 160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2.1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по привлеченным средствам кредитных организаций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588 592</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296 450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2.2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по привлеченным средствам клиентов, не являющихся кредитыми организациями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2 549 910</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1 394 050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2.3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по выпущенным долговым обязательствам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48 635</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29 660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3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процентные доходы (отрицательная процентная маржа)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726 156</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548 150</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4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Изменение резерва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w:t>
            </w:r>
            <w:r w:rsidRPr="00F50E1C">
              <w:rPr>
                <w:rFonts w:ascii="Georgia" w:eastAsia="Times New Roman" w:hAnsi="Georgia" w:cs="Calibri"/>
                <w:color w:val="1F497D"/>
                <w:sz w:val="19"/>
                <w:szCs w:val="19"/>
              </w:rPr>
              <w:br/>
              <w:t xml:space="preserve">в том числе: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-1 031 270</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-77 877</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4.1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изменение резерва на возможные потери по начисленным процентным доходам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-17 651</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-7 834</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5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процентные доходы (отрицательная процентная маржа) после создания резерва на возможные потери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-305 114</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470 273</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6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от операций с финансовыми активами, оцениваемыми по справедливой стоимости через прибыль или убыток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-8673</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-179</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7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от операций с ценными бумагами, имеющимися в наличии для продажи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20 303</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-2 193</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8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от операций с ценными бумагами, удерживаемыми до погашения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-34</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9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от операций с иностранной валютой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6 779</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30 277</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10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от переоценки иностранной валюты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12 259</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5 636</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11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Доходы от участия в капитале других юридических лиц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12 892</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13 977</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12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Комиссионные доходы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289 369</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144 672</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13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Комиссионные расходы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29 383</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38 881</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14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Изменение резерва на возможные потери по ценным бумагам, имеющимся в наличии для продажи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sidRPr="00456F36">
              <w:rPr>
                <w:rFonts w:ascii="Georgia" w:eastAsia="Times New Roman" w:hAnsi="Georgia" w:cs="Calibri"/>
                <w:color w:val="1F497D"/>
                <w:sz w:val="19"/>
                <w:szCs w:val="19"/>
              </w:rPr>
              <w:t>-9</w:t>
            </w:r>
            <w:r>
              <w:rPr>
                <w:rFonts w:ascii="Georgia" w:eastAsia="Times New Roman" w:hAnsi="Georgia" w:cs="Calibri"/>
                <w:color w:val="1F497D"/>
                <w:sz w:val="19"/>
                <w:szCs w:val="19"/>
              </w:rPr>
              <w:t xml:space="preserve"> </w:t>
            </w:r>
            <w:r w:rsidRPr="00456F36">
              <w:rPr>
                <w:rFonts w:ascii="Georgia" w:eastAsia="Times New Roman" w:hAnsi="Georgia" w:cs="Calibri"/>
                <w:color w:val="1F497D"/>
                <w:sz w:val="19"/>
                <w:szCs w:val="19"/>
              </w:rPr>
              <w:t>194</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sidRPr="00456F36">
              <w:rPr>
                <w:rFonts w:ascii="Georgia" w:eastAsia="Times New Roman" w:hAnsi="Georgia" w:cs="Calibri"/>
                <w:color w:val="1F497D"/>
                <w:sz w:val="19"/>
                <w:szCs w:val="19"/>
              </w:rPr>
              <w:t>-10</w:t>
            </w:r>
            <w:r>
              <w:rPr>
                <w:rFonts w:ascii="Georgia" w:eastAsia="Times New Roman" w:hAnsi="Georgia" w:cs="Calibri"/>
                <w:color w:val="1F497D"/>
                <w:sz w:val="19"/>
                <w:szCs w:val="19"/>
              </w:rPr>
              <w:t xml:space="preserve"> </w:t>
            </w:r>
            <w:r w:rsidRPr="00456F36">
              <w:rPr>
                <w:rFonts w:ascii="Georgia" w:eastAsia="Times New Roman" w:hAnsi="Georgia" w:cs="Calibri"/>
                <w:color w:val="1F497D"/>
                <w:sz w:val="19"/>
                <w:szCs w:val="19"/>
              </w:rPr>
              <w:t>779</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15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Изменение резерва на возможные потери по ценным бумагам, удерживаемым до погашения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jc w:val="right"/>
              <w:rPr>
                <w:rFonts w:ascii="Georgia" w:eastAsia="Times New Roman" w:hAnsi="Georgia" w:cs="Calibri"/>
                <w:color w:val="1F497D"/>
                <w:sz w:val="19"/>
                <w:szCs w:val="19"/>
              </w:rPr>
            </w:pPr>
            <w:r>
              <w:rPr>
                <w:rFonts w:ascii="Georgia" w:eastAsia="Times New Roman" w:hAnsi="Georgia" w:cs="Calibri"/>
                <w:color w:val="1F497D"/>
                <w:sz w:val="19"/>
                <w:szCs w:val="19"/>
              </w:rPr>
              <w:t>-</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91558F">
            <w:pPr>
              <w:spacing w:after="0" w:line="240" w:lineRule="auto"/>
              <w:ind w:right="142"/>
              <w:jc w:val="right"/>
              <w:rPr>
                <w:rFonts w:ascii="Georgia" w:eastAsia="Times New Roman" w:hAnsi="Georgia" w:cs="Calibri"/>
                <w:color w:val="1F497D"/>
                <w:sz w:val="19"/>
                <w:szCs w:val="19"/>
              </w:rPr>
            </w:pPr>
            <w:r>
              <w:rPr>
                <w:rFonts w:ascii="Georgia" w:eastAsia="Times New Roman" w:hAnsi="Georgia" w:cs="Calibri"/>
                <w:color w:val="1F497D"/>
                <w:sz w:val="19"/>
                <w:szCs w:val="19"/>
              </w:rPr>
              <w:t>-</w:t>
            </w:r>
          </w:p>
        </w:tc>
      </w:tr>
      <w:tr w:rsidR="00456F36" w:rsidRPr="00F50E1C" w:rsidTr="00F85653">
        <w:trPr>
          <w:trHeight w:val="82"/>
        </w:trPr>
        <w:tc>
          <w:tcPr>
            <w:tcW w:w="764"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16 </w:t>
            </w:r>
          </w:p>
        </w:tc>
        <w:tc>
          <w:tcPr>
            <w:tcW w:w="5190" w:type="dxa"/>
            <w:tcBorders>
              <w:top w:val="nil"/>
              <w:left w:val="nil"/>
              <w:bottom w:val="single" w:sz="8" w:space="0" w:color="95B3D7"/>
              <w:right w:val="nil"/>
            </w:tcBorders>
            <w:shd w:val="clear" w:color="auto" w:fill="auto"/>
            <w:vAlign w:val="center"/>
            <w:hideMark/>
          </w:tcPr>
          <w:p w:rsidR="00456F36" w:rsidRPr="00F50E1C" w:rsidRDefault="00456F36"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Изменение резерва по прочим потерям </w:t>
            </w:r>
          </w:p>
        </w:tc>
        <w:tc>
          <w:tcPr>
            <w:tcW w:w="1276" w:type="dxa"/>
            <w:tcBorders>
              <w:top w:val="nil"/>
              <w:left w:val="nil"/>
              <w:bottom w:val="single" w:sz="8" w:space="0" w:color="95B3D7"/>
              <w:right w:val="nil"/>
            </w:tcBorders>
            <w:shd w:val="clear" w:color="auto" w:fill="auto"/>
            <w:vAlign w:val="center"/>
            <w:hideMark/>
          </w:tcPr>
          <w:p w:rsidR="00456F36" w:rsidRPr="00F50E1C" w:rsidRDefault="00456F36" w:rsidP="00F50E1C">
            <w:pPr>
              <w:spacing w:after="0" w:line="240" w:lineRule="auto"/>
              <w:jc w:val="right"/>
              <w:rPr>
                <w:rFonts w:ascii="Georgia" w:eastAsia="Times New Roman" w:hAnsi="Georgia" w:cs="Calibri"/>
                <w:color w:val="1F497D"/>
                <w:sz w:val="19"/>
                <w:szCs w:val="19"/>
              </w:rPr>
            </w:pPr>
            <w:r w:rsidRPr="00456F36">
              <w:rPr>
                <w:rFonts w:ascii="Georgia" w:eastAsia="Times New Roman" w:hAnsi="Georgia" w:cs="Calibri"/>
                <w:color w:val="1F497D"/>
                <w:sz w:val="19"/>
                <w:szCs w:val="19"/>
              </w:rPr>
              <w:t>-42</w:t>
            </w:r>
            <w:r>
              <w:rPr>
                <w:rFonts w:ascii="Georgia" w:eastAsia="Times New Roman" w:hAnsi="Georgia" w:cs="Calibri"/>
                <w:color w:val="1F497D"/>
                <w:sz w:val="19"/>
                <w:szCs w:val="19"/>
              </w:rPr>
              <w:t xml:space="preserve"> </w:t>
            </w:r>
            <w:r w:rsidRPr="00456F36">
              <w:rPr>
                <w:rFonts w:ascii="Georgia" w:eastAsia="Times New Roman" w:hAnsi="Georgia" w:cs="Calibri"/>
                <w:color w:val="1F497D"/>
                <w:sz w:val="19"/>
                <w:szCs w:val="19"/>
              </w:rPr>
              <w:t>579</w:t>
            </w:r>
          </w:p>
        </w:tc>
        <w:tc>
          <w:tcPr>
            <w:tcW w:w="1417" w:type="dxa"/>
            <w:tcBorders>
              <w:top w:val="nil"/>
              <w:left w:val="nil"/>
              <w:bottom w:val="single" w:sz="8" w:space="0" w:color="95B3D7"/>
              <w:right w:val="nil"/>
            </w:tcBorders>
            <w:shd w:val="clear" w:color="auto" w:fill="auto"/>
            <w:vAlign w:val="center"/>
            <w:hideMark/>
          </w:tcPr>
          <w:p w:rsidR="00456F36" w:rsidRPr="00F50E1C" w:rsidRDefault="00456F36" w:rsidP="00F50E1C">
            <w:pPr>
              <w:spacing w:after="0" w:line="240" w:lineRule="auto"/>
              <w:ind w:right="142"/>
              <w:jc w:val="right"/>
              <w:rPr>
                <w:rFonts w:ascii="Georgia" w:eastAsia="Times New Roman" w:hAnsi="Georgia" w:cs="Calibri"/>
                <w:color w:val="1F497D"/>
                <w:sz w:val="19"/>
                <w:szCs w:val="19"/>
              </w:rPr>
            </w:pPr>
            <w:r w:rsidRPr="00456F36">
              <w:rPr>
                <w:rFonts w:ascii="Georgia" w:eastAsia="Times New Roman" w:hAnsi="Georgia" w:cs="Calibri"/>
                <w:color w:val="1F497D"/>
                <w:sz w:val="19"/>
                <w:szCs w:val="19"/>
              </w:rPr>
              <w:t>69</w:t>
            </w:r>
            <w:r>
              <w:rPr>
                <w:rFonts w:ascii="Georgia" w:eastAsia="Times New Roman" w:hAnsi="Georgia" w:cs="Calibri"/>
                <w:color w:val="1F497D"/>
                <w:sz w:val="19"/>
                <w:szCs w:val="19"/>
              </w:rPr>
              <w:t xml:space="preserve"> </w:t>
            </w:r>
            <w:r w:rsidRPr="00456F36">
              <w:rPr>
                <w:rFonts w:ascii="Georgia" w:eastAsia="Times New Roman" w:hAnsi="Georgia" w:cs="Calibri"/>
                <w:color w:val="1F497D"/>
                <w:sz w:val="19"/>
                <w:szCs w:val="19"/>
              </w:rPr>
              <w:t>024</w:t>
            </w:r>
          </w:p>
        </w:tc>
      </w:tr>
    </w:tbl>
    <w:p w:rsidR="002C23CD" w:rsidRPr="003A49E4" w:rsidRDefault="002C23CD" w:rsidP="00D47C29">
      <w:pPr>
        <w:spacing w:after="120" w:line="240" w:lineRule="auto"/>
        <w:rPr>
          <w:rFonts w:ascii="Georgia" w:hAnsi="Georgia"/>
          <w:sz w:val="20"/>
          <w:szCs w:val="20"/>
        </w:rPr>
      </w:pPr>
    </w:p>
    <w:tbl>
      <w:tblPr>
        <w:tblW w:w="8647" w:type="dxa"/>
        <w:tblLayout w:type="fixed"/>
        <w:tblCellMar>
          <w:left w:w="0" w:type="dxa"/>
          <w:right w:w="0" w:type="dxa"/>
        </w:tblCellMar>
        <w:tblLook w:val="04A0" w:firstRow="1" w:lastRow="0" w:firstColumn="1" w:lastColumn="0" w:noHBand="0" w:noVBand="1"/>
      </w:tblPr>
      <w:tblGrid>
        <w:gridCol w:w="764"/>
        <w:gridCol w:w="5386"/>
        <w:gridCol w:w="1134"/>
        <w:gridCol w:w="1363"/>
      </w:tblGrid>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17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Прочие операционные доходы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60 750</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187 515</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18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Чистые доходы (расходы)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7 375</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869 342</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19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Операционные расходы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643 245</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659 840</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1068F9">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20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Прибыль (убыток) до налогообложения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-635870</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209 502</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1068F9">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21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Возмещение (расход) по налогам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-71 754</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62 746</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22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Прибыль (убыток) после налогообложения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-564 116</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146 756</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23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Выплаты из прибыли после налогообложения,</w:t>
            </w:r>
            <w:r w:rsidRPr="00F50E1C">
              <w:rPr>
                <w:rFonts w:ascii="Georgia" w:eastAsia="Times New Roman" w:hAnsi="Georgia" w:cs="Calibri"/>
                <w:color w:val="1F497D"/>
                <w:sz w:val="19"/>
                <w:szCs w:val="19"/>
              </w:rPr>
              <w:br/>
              <w:t xml:space="preserve">всего, в том числе: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23.1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распределение между акционерами (участниками) в виде дивидендов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23.2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отчисления на формирование и пополнение резервного фонда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     </w:t>
            </w:r>
          </w:p>
        </w:tc>
      </w:tr>
      <w:tr w:rsidR="00F50E1C" w:rsidRPr="00F50E1C" w:rsidTr="00F50E1C">
        <w:trPr>
          <w:trHeight w:val="82"/>
        </w:trPr>
        <w:tc>
          <w:tcPr>
            <w:tcW w:w="764"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jc w:val="center"/>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24 </w:t>
            </w:r>
          </w:p>
        </w:tc>
        <w:tc>
          <w:tcPr>
            <w:tcW w:w="5386" w:type="dxa"/>
            <w:tcBorders>
              <w:top w:val="nil"/>
              <w:left w:val="nil"/>
              <w:bottom w:val="single" w:sz="8" w:space="0" w:color="95B3D7"/>
              <w:right w:val="nil"/>
            </w:tcBorders>
            <w:shd w:val="clear" w:color="auto" w:fill="auto"/>
            <w:vAlign w:val="center"/>
            <w:hideMark/>
          </w:tcPr>
          <w:p w:rsidR="00F50E1C" w:rsidRPr="00F50E1C" w:rsidRDefault="00F50E1C" w:rsidP="002C23CD">
            <w:pPr>
              <w:spacing w:after="0" w:line="240" w:lineRule="auto"/>
              <w:rPr>
                <w:rFonts w:ascii="Georgia" w:eastAsia="Times New Roman" w:hAnsi="Georgia" w:cs="Calibri"/>
                <w:color w:val="1F497D"/>
                <w:sz w:val="19"/>
                <w:szCs w:val="19"/>
              </w:rPr>
            </w:pPr>
            <w:r w:rsidRPr="00F50E1C">
              <w:rPr>
                <w:rFonts w:ascii="Georgia" w:eastAsia="Times New Roman" w:hAnsi="Georgia" w:cs="Calibri"/>
                <w:color w:val="1F497D"/>
                <w:sz w:val="19"/>
                <w:szCs w:val="19"/>
              </w:rPr>
              <w:t xml:space="preserve">Неиспользованная прибыль (убыток) за отчетный период </w:t>
            </w:r>
          </w:p>
        </w:tc>
        <w:tc>
          <w:tcPr>
            <w:tcW w:w="1134"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-564 116</w:t>
            </w:r>
          </w:p>
        </w:tc>
        <w:tc>
          <w:tcPr>
            <w:tcW w:w="1363" w:type="dxa"/>
            <w:tcBorders>
              <w:top w:val="nil"/>
              <w:left w:val="nil"/>
              <w:bottom w:val="single" w:sz="8" w:space="0" w:color="95B3D7"/>
              <w:right w:val="nil"/>
            </w:tcBorders>
            <w:shd w:val="clear" w:color="auto" w:fill="auto"/>
            <w:vAlign w:val="center"/>
            <w:hideMark/>
          </w:tcPr>
          <w:p w:rsidR="00F50E1C" w:rsidRPr="00F50E1C" w:rsidRDefault="00F50E1C" w:rsidP="00F50E1C">
            <w:pPr>
              <w:spacing w:after="0" w:line="240" w:lineRule="auto"/>
              <w:ind w:right="142"/>
              <w:jc w:val="right"/>
              <w:rPr>
                <w:rFonts w:ascii="Georgia" w:eastAsia="Times New Roman" w:hAnsi="Georgia" w:cs="Calibri"/>
                <w:color w:val="1F497D"/>
                <w:sz w:val="19"/>
                <w:szCs w:val="19"/>
              </w:rPr>
            </w:pPr>
            <w:r w:rsidRPr="00F50E1C">
              <w:rPr>
                <w:rFonts w:ascii="Georgia" w:eastAsia="Times New Roman" w:hAnsi="Georgia" w:cs="Calibri"/>
                <w:color w:val="1F497D"/>
                <w:sz w:val="19"/>
                <w:szCs w:val="19"/>
              </w:rPr>
              <w:t>146 756</w:t>
            </w:r>
          </w:p>
        </w:tc>
      </w:tr>
    </w:tbl>
    <w:p w:rsidR="003B7B5B" w:rsidRPr="00F50E1C" w:rsidRDefault="003B7B5B" w:rsidP="003B7B5B">
      <w:pPr>
        <w:spacing w:after="120" w:line="240" w:lineRule="auto"/>
        <w:jc w:val="both"/>
        <w:rPr>
          <w:rFonts w:ascii="Georgia" w:hAnsi="Georgia"/>
          <w:sz w:val="24"/>
          <w:szCs w:val="24"/>
        </w:rPr>
      </w:pPr>
    </w:p>
    <w:p w:rsidR="003B7B5B" w:rsidRPr="00F50E1C" w:rsidRDefault="003B7B5B" w:rsidP="003B7B5B">
      <w:pPr>
        <w:spacing w:after="120" w:line="240" w:lineRule="auto"/>
        <w:jc w:val="both"/>
        <w:rPr>
          <w:rFonts w:ascii="Georgia" w:hAnsi="Georgia"/>
          <w:sz w:val="24"/>
          <w:szCs w:val="24"/>
        </w:rPr>
      </w:pPr>
    </w:p>
    <w:p w:rsidR="003B7B5B" w:rsidRPr="00F50E1C" w:rsidRDefault="003B7B5B" w:rsidP="003B7B5B">
      <w:pPr>
        <w:spacing w:after="120" w:line="240" w:lineRule="auto"/>
        <w:jc w:val="both"/>
        <w:rPr>
          <w:rFonts w:ascii="Georgia" w:hAnsi="Georgia"/>
          <w:sz w:val="24"/>
          <w:szCs w:val="24"/>
        </w:rPr>
      </w:pPr>
    </w:p>
    <w:p w:rsidR="003B7B5B" w:rsidRPr="00F50E1C" w:rsidRDefault="003B7B5B" w:rsidP="00D47C29">
      <w:pPr>
        <w:pStyle w:val="2014"/>
        <w:jc w:val="left"/>
      </w:pPr>
      <w:r w:rsidRPr="00F50E1C">
        <w:t xml:space="preserve">Председатель Правления </w:t>
      </w:r>
      <w:r w:rsidRPr="00F50E1C">
        <w:tab/>
      </w:r>
      <w:r w:rsidRPr="00F50E1C">
        <w:tab/>
      </w:r>
      <w:r w:rsidRPr="00F50E1C">
        <w:tab/>
      </w:r>
      <w:r w:rsidRPr="00F50E1C">
        <w:tab/>
      </w:r>
      <w:r w:rsidRPr="00F50E1C">
        <w:tab/>
        <w:t xml:space="preserve">М.Р. Зарипов </w:t>
      </w:r>
    </w:p>
    <w:p w:rsidR="003B7B5B" w:rsidRPr="00F50E1C" w:rsidRDefault="003B7B5B" w:rsidP="003B7B5B">
      <w:pPr>
        <w:pStyle w:val="2014"/>
      </w:pPr>
    </w:p>
    <w:p w:rsidR="003B7B5B" w:rsidRPr="00F50E1C" w:rsidRDefault="003B7B5B" w:rsidP="003B7B5B">
      <w:pPr>
        <w:pStyle w:val="2014"/>
      </w:pPr>
    </w:p>
    <w:p w:rsidR="003B7B5B" w:rsidRPr="00F50E1C" w:rsidRDefault="003B7B5B" w:rsidP="00D47C29">
      <w:pPr>
        <w:pStyle w:val="2014"/>
        <w:jc w:val="left"/>
      </w:pPr>
      <w:r w:rsidRPr="00F50E1C">
        <w:t xml:space="preserve">Главный бухгалтер </w:t>
      </w:r>
      <w:r w:rsidRPr="00F50E1C">
        <w:tab/>
      </w:r>
      <w:r w:rsidRPr="00F50E1C">
        <w:tab/>
      </w:r>
      <w:r w:rsidRPr="00F50E1C">
        <w:tab/>
      </w:r>
      <w:r w:rsidRPr="00F50E1C">
        <w:tab/>
      </w:r>
      <w:r w:rsidRPr="00F50E1C">
        <w:tab/>
      </w:r>
      <w:r w:rsidRPr="00F50E1C">
        <w:tab/>
        <w:t>Н.Р. Молева</w:t>
      </w:r>
    </w:p>
    <w:p w:rsidR="002C23CD" w:rsidRPr="00EE317B" w:rsidRDefault="002C23CD" w:rsidP="009C38E0">
      <w:pPr>
        <w:pStyle w:val="2014"/>
        <w:rPr>
          <w:highlight w:val="yellow"/>
        </w:rPr>
      </w:pPr>
      <w:r w:rsidRPr="00EE317B">
        <w:rPr>
          <w:highlight w:val="yellow"/>
        </w:rPr>
        <w:br w:type="page"/>
      </w:r>
    </w:p>
    <w:p w:rsidR="002C23CD" w:rsidRPr="00EE317B" w:rsidRDefault="002C23CD" w:rsidP="002C23CD">
      <w:pPr>
        <w:pStyle w:val="1"/>
        <w:spacing w:before="0" w:line="240" w:lineRule="auto"/>
        <w:rPr>
          <w:noProof/>
          <w:color w:val="00B050"/>
          <w:sz w:val="20"/>
          <w:szCs w:val="20"/>
          <w:highlight w:val="yellow"/>
        </w:rPr>
      </w:pPr>
    </w:p>
    <w:p w:rsidR="002C23CD" w:rsidRPr="006D50BF" w:rsidRDefault="002C23CD" w:rsidP="002C23CD">
      <w:pPr>
        <w:pStyle w:val="1"/>
        <w:spacing w:before="0" w:line="240" w:lineRule="auto"/>
        <w:rPr>
          <w:noProof/>
          <w:color w:val="00B050"/>
          <w:sz w:val="38"/>
          <w:szCs w:val="38"/>
        </w:rPr>
      </w:pPr>
      <w:bookmarkStart w:id="63" w:name="_Toc448145490"/>
      <w:r w:rsidRPr="006D50BF">
        <w:rPr>
          <w:noProof/>
          <w:color w:val="00B050"/>
          <w:sz w:val="38"/>
          <w:szCs w:val="38"/>
        </w:rPr>
        <w:t>Отчет о</w:t>
      </w:r>
      <w:r w:rsidR="009F7F2D" w:rsidRPr="006D50BF">
        <w:rPr>
          <w:noProof/>
          <w:color w:val="00B050"/>
          <w:sz w:val="38"/>
          <w:szCs w:val="38"/>
        </w:rPr>
        <w:t>б уровне достаточности капитала для покрытия рисков, величине резервов на покрытие сомнительных ссуд и иных активов</w:t>
      </w:r>
      <w:bookmarkEnd w:id="63"/>
    </w:p>
    <w:p w:rsidR="002C23CD" w:rsidRPr="006D50BF" w:rsidRDefault="002C23CD" w:rsidP="002C23CD">
      <w:pPr>
        <w:pStyle w:val="1"/>
        <w:spacing w:before="0" w:line="240" w:lineRule="auto"/>
        <w:rPr>
          <w:noProof/>
          <w:color w:val="00B050"/>
          <w:sz w:val="20"/>
          <w:szCs w:val="20"/>
        </w:rPr>
      </w:pPr>
    </w:p>
    <w:p w:rsidR="002C23CD" w:rsidRPr="006D50BF" w:rsidRDefault="002C23CD" w:rsidP="002C23CD">
      <w:pPr>
        <w:spacing w:after="0" w:line="240" w:lineRule="auto"/>
        <w:rPr>
          <w:rFonts w:ascii="Georgia" w:hAnsi="Georgia"/>
          <w:b/>
          <w:i/>
          <w:color w:val="365F91" w:themeColor="accent1" w:themeShade="BF"/>
          <w:sz w:val="28"/>
          <w:szCs w:val="24"/>
        </w:rPr>
      </w:pPr>
      <w:r w:rsidRPr="006D50BF">
        <w:rPr>
          <w:rFonts w:ascii="Georgia" w:hAnsi="Georgia"/>
          <w:b/>
          <w:i/>
          <w:color w:val="365F91" w:themeColor="accent1" w:themeShade="BF"/>
          <w:sz w:val="28"/>
          <w:szCs w:val="24"/>
        </w:rPr>
        <w:t>(публикуемая форма)</w:t>
      </w:r>
    </w:p>
    <w:p w:rsidR="002C23CD" w:rsidRPr="006D50BF" w:rsidRDefault="009F7F2D" w:rsidP="002C23CD">
      <w:pPr>
        <w:spacing w:after="0" w:line="240" w:lineRule="auto"/>
        <w:rPr>
          <w:rFonts w:ascii="Georgia" w:hAnsi="Georgia"/>
          <w:b/>
          <w:i/>
          <w:color w:val="365F91" w:themeColor="accent1" w:themeShade="BF"/>
          <w:sz w:val="28"/>
          <w:szCs w:val="24"/>
        </w:rPr>
      </w:pPr>
      <w:r w:rsidRPr="006D50BF">
        <w:rPr>
          <w:rFonts w:ascii="Georgia" w:hAnsi="Georgia"/>
          <w:b/>
          <w:i/>
          <w:color w:val="365F91" w:themeColor="accent1" w:themeShade="BF"/>
          <w:sz w:val="28"/>
          <w:szCs w:val="24"/>
        </w:rPr>
        <w:t>на 1 января 2015 года</w:t>
      </w:r>
    </w:p>
    <w:p w:rsidR="002C23CD" w:rsidRPr="006D50BF" w:rsidRDefault="002C23CD" w:rsidP="002C23CD">
      <w:pPr>
        <w:spacing w:after="120" w:line="240" w:lineRule="auto"/>
        <w:jc w:val="both"/>
        <w:rPr>
          <w:rFonts w:ascii="Georgia" w:hAnsi="Georgia"/>
          <w:sz w:val="24"/>
          <w:szCs w:val="24"/>
        </w:rPr>
      </w:pPr>
    </w:p>
    <w:tbl>
      <w:tblPr>
        <w:tblW w:w="8837" w:type="dxa"/>
        <w:tblInd w:w="-34" w:type="dxa"/>
        <w:tblLook w:val="04A0" w:firstRow="1" w:lastRow="0" w:firstColumn="1" w:lastColumn="0" w:noHBand="0" w:noVBand="1"/>
      </w:tblPr>
      <w:tblGrid>
        <w:gridCol w:w="5150"/>
        <w:gridCol w:w="236"/>
        <w:gridCol w:w="3437"/>
        <w:gridCol w:w="14"/>
      </w:tblGrid>
      <w:tr w:rsidR="002C23CD" w:rsidRPr="006D50BF" w:rsidTr="002C23CD">
        <w:trPr>
          <w:gridAfter w:val="1"/>
          <w:wAfter w:w="14" w:type="dxa"/>
          <w:trHeight w:val="255"/>
        </w:trPr>
        <w:tc>
          <w:tcPr>
            <w:tcW w:w="5150" w:type="dxa"/>
            <w:tcBorders>
              <w:top w:val="nil"/>
              <w:left w:val="nil"/>
              <w:bottom w:val="nil"/>
              <w:right w:val="nil"/>
            </w:tcBorders>
            <w:vAlign w:val="center"/>
          </w:tcPr>
          <w:p w:rsidR="002C23CD" w:rsidRPr="006D50BF" w:rsidRDefault="002C23CD" w:rsidP="002C23CD">
            <w:pPr>
              <w:spacing w:after="0" w:line="240" w:lineRule="auto"/>
              <w:rPr>
                <w:rFonts w:ascii="Georgia" w:eastAsia="Times New Roman" w:hAnsi="Georgia" w:cs="Arial CYR"/>
                <w:szCs w:val="20"/>
              </w:rPr>
            </w:pPr>
            <w:r w:rsidRPr="006D50BF">
              <w:rPr>
                <w:rFonts w:ascii="Georgia" w:eastAsia="Times New Roman" w:hAnsi="Georgia" w:cs="Arial CYR"/>
                <w:szCs w:val="20"/>
              </w:rPr>
              <w:t xml:space="preserve">Кредитной организации </w:t>
            </w:r>
          </w:p>
          <w:p w:rsidR="002C23CD" w:rsidRPr="006D50BF" w:rsidRDefault="002C23CD" w:rsidP="002C23CD">
            <w:pPr>
              <w:spacing w:after="0" w:line="240" w:lineRule="auto"/>
              <w:rPr>
                <w:rFonts w:ascii="Georgia" w:eastAsia="Times New Roman" w:hAnsi="Georgia" w:cs="Arial CYR"/>
                <w:szCs w:val="20"/>
              </w:rPr>
            </w:pPr>
            <w:r w:rsidRPr="006D50BF">
              <w:rPr>
                <w:rFonts w:ascii="Georgia" w:eastAsia="Times New Roman" w:hAnsi="Georgia" w:cs="Arial CYR"/>
                <w:szCs w:val="20"/>
              </w:rPr>
              <w:t>ОАО «ИнтехБанк»</w:t>
            </w:r>
          </w:p>
        </w:tc>
        <w:tc>
          <w:tcPr>
            <w:tcW w:w="3673" w:type="dxa"/>
            <w:gridSpan w:val="2"/>
            <w:tcBorders>
              <w:top w:val="nil"/>
              <w:left w:val="nil"/>
              <w:bottom w:val="nil"/>
              <w:right w:val="nil"/>
            </w:tcBorders>
            <w:shd w:val="clear" w:color="auto" w:fill="auto"/>
            <w:noWrap/>
            <w:vAlign w:val="bottom"/>
            <w:hideMark/>
          </w:tcPr>
          <w:p w:rsidR="002C23CD" w:rsidRPr="006D50BF" w:rsidRDefault="002C23CD" w:rsidP="009F7F2D">
            <w:pPr>
              <w:spacing w:after="0" w:line="240" w:lineRule="auto"/>
              <w:jc w:val="right"/>
              <w:rPr>
                <w:rFonts w:ascii="Georgia" w:eastAsia="Times New Roman" w:hAnsi="Georgia" w:cs="Arial CYR"/>
                <w:szCs w:val="20"/>
              </w:rPr>
            </w:pPr>
          </w:p>
        </w:tc>
      </w:tr>
      <w:tr w:rsidR="002C23CD" w:rsidRPr="006D50BF" w:rsidTr="002C23CD">
        <w:trPr>
          <w:gridAfter w:val="1"/>
          <w:wAfter w:w="14" w:type="dxa"/>
          <w:trHeight w:val="255"/>
        </w:trPr>
        <w:tc>
          <w:tcPr>
            <w:tcW w:w="5150" w:type="dxa"/>
            <w:tcBorders>
              <w:top w:val="nil"/>
              <w:left w:val="nil"/>
              <w:bottom w:val="nil"/>
              <w:right w:val="nil"/>
            </w:tcBorders>
            <w:vAlign w:val="center"/>
          </w:tcPr>
          <w:p w:rsidR="002C23CD" w:rsidRPr="006D50BF" w:rsidRDefault="002C23CD" w:rsidP="002C23CD">
            <w:pPr>
              <w:spacing w:after="0" w:line="240" w:lineRule="auto"/>
              <w:rPr>
                <w:rFonts w:ascii="Georgia" w:eastAsia="Times New Roman" w:hAnsi="Georgia" w:cs="Arial CYR"/>
                <w:szCs w:val="20"/>
              </w:rPr>
            </w:pPr>
            <w:r w:rsidRPr="006D50BF">
              <w:rPr>
                <w:rFonts w:ascii="Georgia" w:eastAsia="Times New Roman" w:hAnsi="Georgia" w:cs="Arial CYR"/>
                <w:szCs w:val="20"/>
              </w:rPr>
              <w:t xml:space="preserve">Почтовый адрес: </w:t>
            </w:r>
          </w:p>
        </w:tc>
        <w:tc>
          <w:tcPr>
            <w:tcW w:w="3673" w:type="dxa"/>
            <w:gridSpan w:val="2"/>
            <w:tcBorders>
              <w:top w:val="nil"/>
              <w:left w:val="nil"/>
              <w:bottom w:val="nil"/>
              <w:right w:val="nil"/>
            </w:tcBorders>
            <w:shd w:val="clear" w:color="auto" w:fill="auto"/>
            <w:noWrap/>
            <w:vAlign w:val="center"/>
            <w:hideMark/>
          </w:tcPr>
          <w:p w:rsidR="002C23CD" w:rsidRPr="006D50BF" w:rsidRDefault="009F7F2D" w:rsidP="002C23CD">
            <w:pPr>
              <w:spacing w:after="0" w:line="240" w:lineRule="auto"/>
              <w:jc w:val="right"/>
              <w:rPr>
                <w:rFonts w:ascii="Georgia" w:eastAsia="Times New Roman" w:hAnsi="Georgia" w:cs="Arial CYR"/>
                <w:szCs w:val="20"/>
              </w:rPr>
            </w:pPr>
            <w:r w:rsidRPr="006D50BF">
              <w:rPr>
                <w:rFonts w:ascii="Georgia" w:eastAsia="Times New Roman" w:hAnsi="Georgia" w:cs="Arial CYR"/>
                <w:szCs w:val="20"/>
              </w:rPr>
              <w:t>Код формы по ОКУД 0409808</w:t>
            </w:r>
          </w:p>
        </w:tc>
      </w:tr>
      <w:tr w:rsidR="002C23CD" w:rsidRPr="006D50BF" w:rsidTr="002C23CD">
        <w:trPr>
          <w:trHeight w:val="255"/>
        </w:trPr>
        <w:tc>
          <w:tcPr>
            <w:tcW w:w="5150" w:type="dxa"/>
            <w:tcBorders>
              <w:top w:val="nil"/>
              <w:left w:val="nil"/>
              <w:bottom w:val="nil"/>
              <w:right w:val="nil"/>
            </w:tcBorders>
            <w:vAlign w:val="center"/>
          </w:tcPr>
          <w:p w:rsidR="002C23CD" w:rsidRPr="006D50BF" w:rsidRDefault="002C23CD" w:rsidP="002C23CD">
            <w:pPr>
              <w:spacing w:after="0" w:line="240" w:lineRule="auto"/>
              <w:rPr>
                <w:rFonts w:ascii="Georgia" w:eastAsia="Times New Roman" w:hAnsi="Georgia" w:cs="Arial CYR"/>
                <w:szCs w:val="20"/>
              </w:rPr>
            </w:pPr>
            <w:r w:rsidRPr="006D50BF">
              <w:rPr>
                <w:rFonts w:ascii="Georgia" w:eastAsia="Times New Roman" w:hAnsi="Georgia" w:cs="Arial CYR"/>
                <w:szCs w:val="20"/>
              </w:rPr>
              <w:t>г. Казань, ул. Шигабутдина Марджани, д. 24</w:t>
            </w:r>
          </w:p>
        </w:tc>
        <w:tc>
          <w:tcPr>
            <w:tcW w:w="236" w:type="dxa"/>
            <w:tcBorders>
              <w:top w:val="nil"/>
              <w:left w:val="nil"/>
              <w:bottom w:val="nil"/>
              <w:right w:val="nil"/>
            </w:tcBorders>
            <w:shd w:val="clear" w:color="auto" w:fill="auto"/>
            <w:noWrap/>
            <w:vAlign w:val="center"/>
            <w:hideMark/>
          </w:tcPr>
          <w:p w:rsidR="002C23CD" w:rsidRPr="006D50BF" w:rsidRDefault="002C23CD" w:rsidP="002C23CD">
            <w:pPr>
              <w:spacing w:after="0" w:line="240" w:lineRule="auto"/>
              <w:jc w:val="right"/>
              <w:rPr>
                <w:rFonts w:ascii="Georgia" w:eastAsia="Times New Roman" w:hAnsi="Georgia" w:cs="Arial CYR"/>
                <w:szCs w:val="20"/>
              </w:rPr>
            </w:pPr>
          </w:p>
        </w:tc>
        <w:tc>
          <w:tcPr>
            <w:tcW w:w="3451" w:type="dxa"/>
            <w:gridSpan w:val="2"/>
            <w:tcBorders>
              <w:top w:val="nil"/>
              <w:left w:val="nil"/>
              <w:bottom w:val="nil"/>
              <w:right w:val="nil"/>
            </w:tcBorders>
            <w:shd w:val="clear" w:color="auto" w:fill="auto"/>
            <w:noWrap/>
            <w:vAlign w:val="center"/>
            <w:hideMark/>
          </w:tcPr>
          <w:p w:rsidR="002C23CD" w:rsidRPr="006D50BF" w:rsidRDefault="009F7F2D" w:rsidP="002C23CD">
            <w:pPr>
              <w:spacing w:after="0" w:line="240" w:lineRule="auto"/>
              <w:jc w:val="right"/>
              <w:rPr>
                <w:rFonts w:ascii="Georgia" w:eastAsia="Times New Roman" w:hAnsi="Georgia" w:cs="Arial CYR"/>
                <w:szCs w:val="20"/>
              </w:rPr>
            </w:pPr>
            <w:r w:rsidRPr="006D50BF">
              <w:rPr>
                <w:rFonts w:ascii="Georgia" w:eastAsia="Times New Roman" w:hAnsi="Georgia" w:cs="Arial CYR"/>
                <w:szCs w:val="20"/>
              </w:rPr>
              <w:t>Квартальная (Годовая)</w:t>
            </w:r>
          </w:p>
        </w:tc>
      </w:tr>
    </w:tbl>
    <w:p w:rsidR="009F7F2D" w:rsidRPr="006D50BF" w:rsidRDefault="009F7F2D" w:rsidP="009F7F2D">
      <w:pPr>
        <w:spacing w:after="120" w:line="240" w:lineRule="auto"/>
        <w:jc w:val="both"/>
        <w:rPr>
          <w:rFonts w:ascii="Georgia" w:hAnsi="Georgia"/>
          <w:sz w:val="24"/>
          <w:szCs w:val="24"/>
        </w:rPr>
      </w:pPr>
    </w:p>
    <w:p w:rsidR="00703603" w:rsidRPr="006D50BF" w:rsidRDefault="009F7F2D" w:rsidP="00841986">
      <w:pPr>
        <w:spacing w:after="0" w:line="240" w:lineRule="auto"/>
        <w:rPr>
          <w:rFonts w:ascii="Georgia" w:hAnsi="Georgia"/>
          <w:b/>
          <w:i/>
          <w:color w:val="365F91" w:themeColor="accent1" w:themeShade="BF"/>
          <w:szCs w:val="24"/>
        </w:rPr>
      </w:pPr>
      <w:r w:rsidRPr="006D50BF">
        <w:rPr>
          <w:rFonts w:ascii="Georgia" w:hAnsi="Georgia"/>
          <w:b/>
          <w:i/>
          <w:color w:val="365F91" w:themeColor="accent1" w:themeShade="BF"/>
          <w:szCs w:val="24"/>
        </w:rPr>
        <w:t>Раздел 1. Информация об уровне достаточности капитала</w:t>
      </w:r>
    </w:p>
    <w:p w:rsidR="009F7F2D" w:rsidRPr="006D50BF" w:rsidRDefault="009F7F2D" w:rsidP="007655FF">
      <w:pPr>
        <w:spacing w:after="0" w:line="240" w:lineRule="auto"/>
        <w:rPr>
          <w:rFonts w:ascii="Georgia" w:hAnsi="Georgia"/>
          <w:b/>
          <w:i/>
          <w:color w:val="365F91" w:themeColor="accent1" w:themeShade="BF"/>
          <w:sz w:val="12"/>
          <w:szCs w:val="12"/>
        </w:rPr>
      </w:pPr>
    </w:p>
    <w:tbl>
      <w:tblPr>
        <w:tblW w:w="8576" w:type="dxa"/>
        <w:tblCellMar>
          <w:left w:w="0" w:type="dxa"/>
          <w:right w:w="0" w:type="dxa"/>
        </w:tblCellMar>
        <w:tblLook w:val="04A0" w:firstRow="1" w:lastRow="0" w:firstColumn="1" w:lastColumn="0" w:noHBand="0" w:noVBand="1"/>
      </w:tblPr>
      <w:tblGrid>
        <w:gridCol w:w="756"/>
        <w:gridCol w:w="4593"/>
        <w:gridCol w:w="1035"/>
        <w:gridCol w:w="1137"/>
        <w:gridCol w:w="1055"/>
      </w:tblGrid>
      <w:tr w:rsidR="009F7F2D" w:rsidRPr="006D50BF" w:rsidTr="00D47C29">
        <w:trPr>
          <w:trHeight w:val="80"/>
        </w:trPr>
        <w:tc>
          <w:tcPr>
            <w:tcW w:w="756" w:type="dxa"/>
            <w:tcBorders>
              <w:top w:val="nil"/>
              <w:left w:val="nil"/>
              <w:bottom w:val="single" w:sz="8" w:space="0" w:color="95B3D7"/>
              <w:right w:val="nil"/>
            </w:tcBorders>
            <w:shd w:val="clear" w:color="000000" w:fill="DBE5F1"/>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Номер строки</w:t>
            </w:r>
          </w:p>
        </w:tc>
        <w:tc>
          <w:tcPr>
            <w:tcW w:w="4593" w:type="dxa"/>
            <w:tcBorders>
              <w:top w:val="nil"/>
              <w:left w:val="nil"/>
              <w:bottom w:val="single" w:sz="8" w:space="0" w:color="95B3D7"/>
              <w:right w:val="nil"/>
            </w:tcBorders>
            <w:shd w:val="clear" w:color="000000" w:fill="DBE5F1"/>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Наименование показателя</w:t>
            </w:r>
          </w:p>
        </w:tc>
        <w:tc>
          <w:tcPr>
            <w:tcW w:w="1035" w:type="dxa"/>
            <w:tcBorders>
              <w:top w:val="nil"/>
              <w:left w:val="nil"/>
              <w:bottom w:val="single" w:sz="8" w:space="0" w:color="95B3D7"/>
              <w:right w:val="nil"/>
            </w:tcBorders>
            <w:shd w:val="clear" w:color="000000" w:fill="DBE5F1"/>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 xml:space="preserve">Данные </w:t>
            </w:r>
            <w:r w:rsidRPr="006D50BF">
              <w:rPr>
                <w:rFonts w:ascii="Georgia" w:eastAsia="Times New Roman" w:hAnsi="Georgia" w:cs="Calibri"/>
                <w:b/>
                <w:bCs/>
                <w:color w:val="1F497D"/>
                <w:sz w:val="19"/>
                <w:szCs w:val="19"/>
              </w:rPr>
              <w:br/>
              <w:t>на начало отчетного года</w:t>
            </w:r>
          </w:p>
        </w:tc>
        <w:tc>
          <w:tcPr>
            <w:tcW w:w="1137" w:type="dxa"/>
            <w:tcBorders>
              <w:top w:val="nil"/>
              <w:left w:val="nil"/>
              <w:bottom w:val="single" w:sz="8" w:space="0" w:color="95B3D7"/>
              <w:right w:val="nil"/>
            </w:tcBorders>
            <w:shd w:val="clear" w:color="000000" w:fill="DBE5F1"/>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Прирост (+)/</w:t>
            </w:r>
            <w:r w:rsidRPr="006D50BF">
              <w:rPr>
                <w:rFonts w:ascii="Georgia" w:eastAsia="Times New Roman" w:hAnsi="Georgia" w:cs="Calibri"/>
                <w:b/>
                <w:bCs/>
                <w:color w:val="1F497D"/>
                <w:sz w:val="19"/>
                <w:szCs w:val="19"/>
              </w:rPr>
              <w:br/>
              <w:t>снижение (-)</w:t>
            </w:r>
            <w:r w:rsidRPr="006D50BF">
              <w:rPr>
                <w:rFonts w:ascii="Georgia" w:eastAsia="Times New Roman" w:hAnsi="Georgia" w:cs="Calibri"/>
                <w:b/>
                <w:bCs/>
                <w:color w:val="1F497D"/>
                <w:sz w:val="19"/>
                <w:szCs w:val="19"/>
              </w:rPr>
              <w:br/>
              <w:t>за отчетный период</w:t>
            </w:r>
          </w:p>
        </w:tc>
        <w:tc>
          <w:tcPr>
            <w:tcW w:w="1055" w:type="dxa"/>
            <w:tcBorders>
              <w:top w:val="nil"/>
              <w:left w:val="nil"/>
              <w:bottom w:val="single" w:sz="8" w:space="0" w:color="95B3D7"/>
              <w:right w:val="nil"/>
            </w:tcBorders>
            <w:shd w:val="clear" w:color="000000" w:fill="DBE5F1"/>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Данные на отчетную дату</w:t>
            </w:r>
          </w:p>
        </w:tc>
      </w:tr>
      <w:tr w:rsidR="009F7F2D" w:rsidRPr="006D50BF" w:rsidTr="00D47C29">
        <w:trPr>
          <w:trHeight w:val="60"/>
        </w:trPr>
        <w:tc>
          <w:tcPr>
            <w:tcW w:w="756" w:type="dxa"/>
            <w:tcBorders>
              <w:top w:val="nil"/>
              <w:left w:val="nil"/>
              <w:bottom w:val="single" w:sz="8" w:space="0" w:color="95B3D7"/>
              <w:right w:val="nil"/>
            </w:tcBorders>
            <w:shd w:val="clear" w:color="auto" w:fill="auto"/>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1</w:t>
            </w:r>
          </w:p>
        </w:tc>
        <w:tc>
          <w:tcPr>
            <w:tcW w:w="4593" w:type="dxa"/>
            <w:tcBorders>
              <w:top w:val="nil"/>
              <w:left w:val="nil"/>
              <w:bottom w:val="single" w:sz="8" w:space="0" w:color="95B3D7"/>
              <w:right w:val="nil"/>
            </w:tcBorders>
            <w:shd w:val="clear" w:color="auto" w:fill="auto"/>
            <w:vAlign w:val="center"/>
            <w:hideMark/>
          </w:tcPr>
          <w:p w:rsidR="009F7F2D" w:rsidRPr="006D50BF" w:rsidRDefault="009F7F2D"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2</w:t>
            </w:r>
          </w:p>
        </w:tc>
        <w:tc>
          <w:tcPr>
            <w:tcW w:w="1035" w:type="dxa"/>
            <w:tcBorders>
              <w:top w:val="nil"/>
              <w:left w:val="nil"/>
              <w:bottom w:val="single" w:sz="8" w:space="0" w:color="95B3D7"/>
              <w:right w:val="nil"/>
            </w:tcBorders>
            <w:shd w:val="clear" w:color="auto" w:fill="auto"/>
            <w:vAlign w:val="center"/>
            <w:hideMark/>
          </w:tcPr>
          <w:p w:rsidR="009F7F2D" w:rsidRPr="006D50BF" w:rsidRDefault="00F21728"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3</w:t>
            </w:r>
          </w:p>
        </w:tc>
        <w:tc>
          <w:tcPr>
            <w:tcW w:w="1137" w:type="dxa"/>
            <w:tcBorders>
              <w:top w:val="nil"/>
              <w:left w:val="nil"/>
              <w:bottom w:val="single" w:sz="8" w:space="0" w:color="95B3D7"/>
              <w:right w:val="nil"/>
            </w:tcBorders>
            <w:shd w:val="clear" w:color="auto" w:fill="auto"/>
            <w:vAlign w:val="center"/>
            <w:hideMark/>
          </w:tcPr>
          <w:p w:rsidR="009F7F2D" w:rsidRPr="006D50BF" w:rsidRDefault="00F21728"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4</w:t>
            </w:r>
          </w:p>
        </w:tc>
        <w:tc>
          <w:tcPr>
            <w:tcW w:w="1055" w:type="dxa"/>
            <w:tcBorders>
              <w:top w:val="nil"/>
              <w:left w:val="nil"/>
              <w:bottom w:val="single" w:sz="8" w:space="0" w:color="95B3D7"/>
              <w:right w:val="nil"/>
            </w:tcBorders>
            <w:shd w:val="clear" w:color="auto" w:fill="auto"/>
            <w:vAlign w:val="center"/>
            <w:hideMark/>
          </w:tcPr>
          <w:p w:rsidR="009F7F2D" w:rsidRPr="006D50BF" w:rsidRDefault="00F21728" w:rsidP="009F7F2D">
            <w:pPr>
              <w:spacing w:after="0" w:line="240" w:lineRule="auto"/>
              <w:jc w:val="center"/>
              <w:rPr>
                <w:rFonts w:ascii="Georgia" w:eastAsia="Times New Roman" w:hAnsi="Georgia" w:cs="Calibri"/>
                <w:b/>
                <w:bCs/>
                <w:color w:val="1F497D"/>
                <w:sz w:val="19"/>
                <w:szCs w:val="19"/>
              </w:rPr>
            </w:pPr>
            <w:r w:rsidRPr="006D50BF">
              <w:rPr>
                <w:rFonts w:ascii="Georgia" w:eastAsia="Times New Roman" w:hAnsi="Georgia" w:cs="Calibri"/>
                <w:b/>
                <w:bCs/>
                <w:color w:val="1F497D"/>
                <w:sz w:val="19"/>
                <w:szCs w:val="19"/>
              </w:rPr>
              <w:t>5</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Собственные средства (капитал) (тыс. руб.), итого,                                                                 в том числе: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3 815 574</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772 461</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3 043 113</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Источники базового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2 538 706</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129 096</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2 409 610</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Уставный капитал, всего, в том числе, сформированный:</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2 000 000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2 000 000</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1.1.1.1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обыкновенными акциями (долями)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2 000 000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2 000 000</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1.1.1.2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привилегированными акциями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Эмиссионный доход</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Резервный фонд</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315 407</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7 338</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308 069</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Нераспределенная прибыль:</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223 299</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121 758</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101 541</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1.1.4.1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прошлых лет</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223 299</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121 758</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101 541</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1.1.4.2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отчетного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Показатели, уменьшающие источники базового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740 564</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665 964</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74 600</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Нематериальные активы</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Отложенные налоговые активы</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Собственные акции (доли), выкупленные у акционеров (участников)</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Убытки: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740 563</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665 966</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74 597</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1.2.4.1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прошлых лет</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1.2.4.2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отчетного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740 563</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665 966</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74 597</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1.2.5</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Инвестиции в капитал финансовых организаций:</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1.2.5.1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1.2.5.2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30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1.2.5.3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совокупная сумма существенных вложений и совокупная сумма отложенных налоговых активов</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1.2.6</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Отрицательная величина добавочного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w:t>
            </w: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1.2.7</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Обязательства по приобретению источников базового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1.2.8</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Средства, поступившие в оплату акций (долей), включаемые в состав базового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p>
        </w:tc>
      </w:tr>
      <w:tr w:rsidR="009E13E9" w:rsidRPr="006D50BF" w:rsidTr="00233DE1">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Базовый капитал</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1 798 142</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233DE1">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-536 868</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233DE1">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2 335 010</w:t>
            </w:r>
          </w:p>
        </w:tc>
      </w:tr>
    </w:tbl>
    <w:p w:rsidR="00F21728" w:rsidRPr="006D50BF" w:rsidRDefault="00F21728" w:rsidP="00D47C29">
      <w:pPr>
        <w:spacing w:after="120" w:line="240" w:lineRule="auto"/>
        <w:rPr>
          <w:rFonts w:ascii="Georgia" w:hAnsi="Georgia"/>
          <w:sz w:val="24"/>
          <w:szCs w:val="24"/>
        </w:rPr>
      </w:pPr>
    </w:p>
    <w:p w:rsidR="00D47C29" w:rsidRPr="006D50BF" w:rsidRDefault="00D47C29" w:rsidP="00D47C29">
      <w:pPr>
        <w:spacing w:after="120" w:line="240" w:lineRule="auto"/>
        <w:rPr>
          <w:rFonts w:ascii="Georgia" w:hAnsi="Georgia"/>
          <w:sz w:val="16"/>
          <w:szCs w:val="16"/>
        </w:rPr>
      </w:pPr>
    </w:p>
    <w:tbl>
      <w:tblPr>
        <w:tblW w:w="8576" w:type="dxa"/>
        <w:tblCellMar>
          <w:left w:w="0" w:type="dxa"/>
          <w:right w:w="0" w:type="dxa"/>
        </w:tblCellMar>
        <w:tblLook w:val="04A0" w:firstRow="1" w:lastRow="0" w:firstColumn="1" w:lastColumn="0" w:noHBand="0" w:noVBand="1"/>
      </w:tblPr>
      <w:tblGrid>
        <w:gridCol w:w="756"/>
        <w:gridCol w:w="4593"/>
        <w:gridCol w:w="1035"/>
        <w:gridCol w:w="1137"/>
        <w:gridCol w:w="1055"/>
      </w:tblGrid>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lastRenderedPageBreak/>
              <w:t>1.4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Источники добавочного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1 250 000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1 250 000</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1.4.1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Уставный капитал, сформированный привилегированными акциями, всего, в том числе: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1.4.1.1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выпущенные в соответствии с Федеральным законом от 18 июля 2009 года № 181-ФЗ "Об использовании государственных ценных бумаг Российской Федерации для повышения капитализации банков"</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1.4.2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Эмиссионный доход</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1.4.3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Субординированный заем с дополнительными условиями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1.4.4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Субординированный кредит (депозит, заем, облигационный заем) без ограничения срока привлечения</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1 250 000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1 250 000</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Показатели, уменьшающие источники добавочного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2</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w:t>
            </w: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Вложения в собственные привилегированные акции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B14D56">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Инвестиции в капитал финансовых организаций:</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1.5.2.1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1.5.2.2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Субординированный  кредит (депозит, заем, облигационный заем), предоставленный финансовым организациям</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1.5.3.1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1.5.3.2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Отрицательная величина дополнительного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1.5.5</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Обязательства по приобретению источников добавочного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1.5.6</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Средства, поступившие в оплату акций (долей), включаемые в состав добавочного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1.6</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Добавочный капитал</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1 249 998</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1 249 998</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30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1.7</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Основной капитал</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3 048 140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713 130</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2 335 010</w:t>
            </w: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Источники дополнительного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910 210</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188 521</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721 689</w:t>
            </w: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 xml:space="preserve">Уставный капитал, сформированный привилегированными акциями, всего, в том числе: </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1.8.1.1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после 1 марта 2013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Уставный капитал, сформированный за счет капитализации прироста стоимости имущества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1.8.3</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Прибыль:</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1.8.3.1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текущего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1.8.3.2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прошлых лет</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1.8.4</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Субординированный кредит (депозит, заем, облигационный заем), всего, в том числе: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781 415</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151 515</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629 900</w:t>
            </w: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1.8.4.1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привлеченный (размещенный) до 1 марта 2013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314"/>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1.8.4.2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предоставленный в соответствии с Федеральным законом от 13 октября 2008 года № 173-ФЗ "О дополнительных мерах по поддержке финансовой системы Российской Федерации" и Федеральным законом от 27 октября 2008 года № 175-ФЗ "О дополнительных мерах для укрепления стабильности банковской системы в период до 31 декабря 2014 года"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1.8.5</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Прирост стоимости имущества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128 795</w:t>
            </w: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37 006</w:t>
            </w: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91 789</w:t>
            </w: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Показатели, уменьшающие источники дополнительного капитала:</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Вложения в собственные привилегированные акции</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Инвестиции в капитал финансовых организаций:</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1.9.2.1</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FF32CB">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9E13E9" w:rsidTr="00F94CCD">
        <w:trPr>
          <w:trHeight w:val="60"/>
        </w:trPr>
        <w:tc>
          <w:tcPr>
            <w:tcW w:w="756"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1.9.2.2</w:t>
            </w:r>
          </w:p>
        </w:tc>
        <w:tc>
          <w:tcPr>
            <w:tcW w:w="4593" w:type="dxa"/>
            <w:tcBorders>
              <w:top w:val="nil"/>
              <w:left w:val="nil"/>
              <w:bottom w:val="single" w:sz="8" w:space="0" w:color="95B3D7"/>
              <w:right w:val="nil"/>
            </w:tcBorders>
            <w:shd w:val="clear" w:color="auto" w:fill="auto"/>
            <w:vAlign w:val="center"/>
            <w:hideMark/>
          </w:tcPr>
          <w:p w:rsidR="009E13E9" w:rsidRPr="006D50BF" w:rsidRDefault="009E13E9" w:rsidP="00FF32CB">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существенные</w:t>
            </w:r>
          </w:p>
        </w:tc>
        <w:tc>
          <w:tcPr>
            <w:tcW w:w="1035"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137"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55"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bl>
    <w:p w:rsidR="00501AEE" w:rsidRPr="006D50BF" w:rsidRDefault="00501AEE" w:rsidP="00D47C29">
      <w:pPr>
        <w:spacing w:after="120" w:line="240" w:lineRule="auto"/>
        <w:rPr>
          <w:rFonts w:ascii="Georgia" w:hAnsi="Georgia"/>
          <w:sz w:val="24"/>
          <w:szCs w:val="24"/>
        </w:rPr>
      </w:pPr>
    </w:p>
    <w:tbl>
      <w:tblPr>
        <w:tblW w:w="8576" w:type="dxa"/>
        <w:tblCellMar>
          <w:left w:w="0" w:type="dxa"/>
          <w:right w:w="0" w:type="dxa"/>
        </w:tblCellMar>
        <w:tblLook w:val="04A0" w:firstRow="1" w:lastRow="0" w:firstColumn="1" w:lastColumn="0" w:noHBand="0" w:noVBand="1"/>
      </w:tblPr>
      <w:tblGrid>
        <w:gridCol w:w="735"/>
        <w:gridCol w:w="4302"/>
        <w:gridCol w:w="1512"/>
        <w:gridCol w:w="1049"/>
        <w:gridCol w:w="978"/>
      </w:tblGrid>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p>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1.9.3</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B518BC">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Субординированный кредит (депозит, заем, облигационный заем), предоставленный финансовым организациям</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1.9.3.1</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несущественный</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1.9.3.2</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существенный</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1.9.4</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Обязательства по приобретению источников дополнительного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30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1.9.5</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Средства, поступившие в оплату акций (долей), включаемые в состав дополнительного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Показатели, уменьшающие сумму основного и дополнительного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142 776</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129 190</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13 586</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1.10.1</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Просроченная дебиторская задолженность длительностью свыше 30 календарных дней</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1.10.2</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Субординированные кредиты, стоимость которых не превышает 1 процента от величины уставного капитала кредитной организации-заемщика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30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1.10.3</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Превышение совокупной суммы кредитов, банковских гарантий и поручительств, предоставленных своим участникам (акционерам) и инсайдерам, над ее максимальным размером в соответствии федеральными законами и нормативными актами Банка России</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1.10.4</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Превышение вложений в строительство, изготовление и приобретение основных средств над суммой источников основного и дополнительного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142 776</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129 190</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13 586</w:t>
            </w:r>
          </w:p>
        </w:tc>
      </w:tr>
      <w:tr w:rsidR="009E13E9" w:rsidRPr="006D50BF" w:rsidTr="00F94CCD">
        <w:trPr>
          <w:trHeight w:val="30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1.10.5</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Превышение действительной стоимости доли вышедшего участника общества с ограниченной ответственностью над стоимостью, по которой доля была реализована другому участнику общества с ограниченной ответственностью</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1.11</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Дополнительный капитал</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767 434</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59 331</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708 103</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Активы, взвешенные по уровню риска (тыс. руб.):</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X</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X</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X</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2.1</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Необходимые для определения достаточности базового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30 853 700</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3 771 366</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27 082 334</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2.2</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Необходимые для определения достаточности основного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30 853 700</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3 771 366</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27 082 334</w:t>
            </w:r>
          </w:p>
        </w:tc>
      </w:tr>
      <w:tr w:rsidR="00BF3022" w:rsidRPr="006D50BF" w:rsidTr="00F94CCD">
        <w:trPr>
          <w:trHeight w:val="60"/>
        </w:trPr>
        <w:tc>
          <w:tcPr>
            <w:tcW w:w="735" w:type="dxa"/>
            <w:tcBorders>
              <w:top w:val="nil"/>
              <w:left w:val="nil"/>
              <w:bottom w:val="single" w:sz="8" w:space="0" w:color="95B3D7"/>
              <w:right w:val="nil"/>
            </w:tcBorders>
            <w:shd w:val="clear" w:color="auto" w:fill="auto"/>
            <w:vAlign w:val="center"/>
          </w:tcPr>
          <w:p w:rsidR="00BF3022" w:rsidRPr="006D50BF" w:rsidRDefault="00BF3022" w:rsidP="00644A93">
            <w:pPr>
              <w:spacing w:after="0" w:line="240" w:lineRule="auto"/>
              <w:jc w:val="center"/>
              <w:rPr>
                <w:rFonts w:ascii="Georgia" w:eastAsia="Times New Roman" w:hAnsi="Georgia" w:cs="Calibri"/>
                <w:color w:val="1F497D"/>
                <w:sz w:val="19"/>
                <w:szCs w:val="19"/>
              </w:rPr>
            </w:pPr>
            <w:r>
              <w:rPr>
                <w:rFonts w:ascii="Georgia" w:eastAsia="Times New Roman" w:hAnsi="Georgia" w:cs="Calibri"/>
                <w:color w:val="1F497D"/>
                <w:sz w:val="19"/>
                <w:szCs w:val="19"/>
              </w:rPr>
              <w:t>2.3</w:t>
            </w:r>
          </w:p>
        </w:tc>
        <w:tc>
          <w:tcPr>
            <w:tcW w:w="4302" w:type="dxa"/>
            <w:tcBorders>
              <w:top w:val="nil"/>
              <w:left w:val="nil"/>
              <w:bottom w:val="single" w:sz="8" w:space="0" w:color="95B3D7"/>
              <w:right w:val="nil"/>
            </w:tcBorders>
            <w:shd w:val="clear" w:color="auto" w:fill="auto"/>
            <w:vAlign w:val="center"/>
          </w:tcPr>
          <w:p w:rsidR="00BF3022" w:rsidRPr="006D50BF" w:rsidRDefault="00BF3022" w:rsidP="009F7F2D">
            <w:pPr>
              <w:spacing w:after="0" w:line="240" w:lineRule="auto"/>
              <w:rPr>
                <w:rFonts w:ascii="Georgia" w:eastAsia="Times New Roman" w:hAnsi="Georgia" w:cs="Calibri"/>
                <w:color w:val="1F497D"/>
                <w:sz w:val="19"/>
                <w:szCs w:val="19"/>
              </w:rPr>
            </w:pPr>
            <w:r w:rsidRPr="00BF3022">
              <w:rPr>
                <w:rFonts w:ascii="Georgia" w:eastAsia="Times New Roman" w:hAnsi="Georgia" w:cs="Calibri"/>
                <w:color w:val="1F497D"/>
                <w:sz w:val="19"/>
                <w:szCs w:val="19"/>
              </w:rPr>
              <w:t>Необходимые для определения достаточности собственных средств (капитала)</w:t>
            </w:r>
          </w:p>
        </w:tc>
        <w:tc>
          <w:tcPr>
            <w:tcW w:w="1512" w:type="dxa"/>
            <w:tcBorders>
              <w:top w:val="nil"/>
              <w:left w:val="nil"/>
              <w:bottom w:val="single" w:sz="8" w:space="0" w:color="95B3D7"/>
              <w:right w:val="nil"/>
            </w:tcBorders>
            <w:shd w:val="clear" w:color="auto" w:fill="auto"/>
            <w:vAlign w:val="center"/>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BF3022">
              <w:rPr>
                <w:rFonts w:ascii="Georgia" w:eastAsia="Times New Roman" w:hAnsi="Georgia" w:cs="Calibri"/>
                <w:color w:val="1F497D"/>
                <w:sz w:val="19"/>
                <w:szCs w:val="19"/>
              </w:rPr>
              <w:t>30</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751</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800</w:t>
            </w:r>
          </w:p>
        </w:tc>
        <w:tc>
          <w:tcPr>
            <w:tcW w:w="1049" w:type="dxa"/>
            <w:tcBorders>
              <w:top w:val="nil"/>
              <w:left w:val="nil"/>
              <w:bottom w:val="single" w:sz="8" w:space="0" w:color="95B3D7"/>
              <w:right w:val="nil"/>
            </w:tcBorders>
            <w:shd w:val="clear" w:color="auto" w:fill="auto"/>
            <w:vAlign w:val="center"/>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BF3022">
              <w:rPr>
                <w:rFonts w:ascii="Georgia" w:eastAsia="Times New Roman" w:hAnsi="Georgia" w:cs="Calibri"/>
                <w:color w:val="1F497D"/>
                <w:sz w:val="19"/>
                <w:szCs w:val="19"/>
              </w:rPr>
              <w:t>3</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591</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263</w:t>
            </w:r>
          </w:p>
        </w:tc>
        <w:tc>
          <w:tcPr>
            <w:tcW w:w="978" w:type="dxa"/>
            <w:tcBorders>
              <w:top w:val="nil"/>
              <w:left w:val="nil"/>
              <w:bottom w:val="single" w:sz="8" w:space="0" w:color="95B3D7"/>
              <w:right w:val="nil"/>
            </w:tcBorders>
            <w:shd w:val="clear" w:color="auto" w:fill="auto"/>
            <w:vAlign w:val="center"/>
          </w:tcPr>
          <w:p w:rsidR="00BF3022" w:rsidRPr="006D50BF" w:rsidRDefault="00BF3022" w:rsidP="00F94CCD">
            <w:pPr>
              <w:spacing w:after="0" w:line="240" w:lineRule="auto"/>
              <w:jc w:val="center"/>
              <w:rPr>
                <w:rFonts w:ascii="Georgia" w:eastAsia="Times New Roman" w:hAnsi="Georgia" w:cs="Calibri"/>
                <w:color w:val="1F497D"/>
                <w:sz w:val="19"/>
                <w:szCs w:val="19"/>
              </w:rPr>
            </w:pPr>
            <w:r w:rsidRPr="00BF3022">
              <w:rPr>
                <w:rFonts w:ascii="Georgia" w:eastAsia="Times New Roman" w:hAnsi="Georgia" w:cs="Calibri"/>
                <w:color w:val="1F497D"/>
                <w:sz w:val="19"/>
                <w:szCs w:val="19"/>
              </w:rPr>
              <w:t>27</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160</w:t>
            </w:r>
            <w:r>
              <w:rPr>
                <w:rFonts w:ascii="Georgia" w:eastAsia="Times New Roman" w:hAnsi="Georgia" w:cs="Calibri"/>
                <w:color w:val="1F497D"/>
                <w:sz w:val="19"/>
                <w:szCs w:val="19"/>
              </w:rPr>
              <w:t xml:space="preserve"> </w:t>
            </w:r>
            <w:r w:rsidRPr="00BF3022">
              <w:rPr>
                <w:rFonts w:ascii="Georgia" w:eastAsia="Times New Roman" w:hAnsi="Georgia" w:cs="Calibri"/>
                <w:color w:val="1F497D"/>
                <w:sz w:val="19"/>
                <w:szCs w:val="19"/>
              </w:rPr>
              <w:t>537</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Достаточность капитала (процент):</w:t>
            </w:r>
          </w:p>
        </w:tc>
        <w:tc>
          <w:tcPr>
            <w:tcW w:w="1512" w:type="dxa"/>
            <w:tcBorders>
              <w:top w:val="nil"/>
              <w:left w:val="nil"/>
              <w:bottom w:val="single" w:sz="8" w:space="0" w:color="95B3D7"/>
              <w:right w:val="nil"/>
            </w:tcBorders>
            <w:shd w:val="clear" w:color="auto" w:fill="auto"/>
            <w:vAlign w:val="center"/>
            <w:hideMark/>
          </w:tcPr>
          <w:p w:rsidR="009E13E9" w:rsidRPr="009E13E9" w:rsidRDefault="00BF3022"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X</w:t>
            </w:r>
          </w:p>
        </w:tc>
        <w:tc>
          <w:tcPr>
            <w:tcW w:w="1049" w:type="dxa"/>
            <w:tcBorders>
              <w:top w:val="nil"/>
              <w:left w:val="nil"/>
              <w:bottom w:val="single" w:sz="8" w:space="0" w:color="95B3D7"/>
              <w:right w:val="nil"/>
            </w:tcBorders>
            <w:shd w:val="clear" w:color="auto" w:fill="auto"/>
            <w:vAlign w:val="center"/>
            <w:hideMark/>
          </w:tcPr>
          <w:p w:rsidR="009E13E9" w:rsidRPr="009E13E9" w:rsidRDefault="00BF3022"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X</w:t>
            </w:r>
          </w:p>
        </w:tc>
        <w:tc>
          <w:tcPr>
            <w:tcW w:w="978" w:type="dxa"/>
            <w:tcBorders>
              <w:top w:val="nil"/>
              <w:left w:val="nil"/>
              <w:bottom w:val="single" w:sz="8" w:space="0" w:color="95B3D7"/>
              <w:right w:val="nil"/>
            </w:tcBorders>
            <w:shd w:val="clear" w:color="auto" w:fill="auto"/>
            <w:vAlign w:val="center"/>
            <w:hideMark/>
          </w:tcPr>
          <w:p w:rsidR="009E13E9" w:rsidRPr="006D50BF" w:rsidRDefault="009E13E9"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X</w:t>
            </w:r>
          </w:p>
        </w:tc>
      </w:tr>
      <w:tr w:rsidR="00BF3022"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BF3022" w:rsidRPr="006D50BF" w:rsidRDefault="00BF3022"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3.1</w:t>
            </w:r>
          </w:p>
        </w:tc>
        <w:tc>
          <w:tcPr>
            <w:tcW w:w="4302" w:type="dxa"/>
            <w:tcBorders>
              <w:top w:val="nil"/>
              <w:left w:val="nil"/>
              <w:bottom w:val="single" w:sz="8" w:space="0" w:color="95B3D7"/>
              <w:right w:val="nil"/>
            </w:tcBorders>
            <w:shd w:val="clear" w:color="auto" w:fill="auto"/>
            <w:vAlign w:val="center"/>
            <w:hideMark/>
          </w:tcPr>
          <w:p w:rsidR="00BF3022" w:rsidRPr="006D50BF" w:rsidRDefault="00BF3022"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Достаточность базового капитала</w:t>
            </w:r>
          </w:p>
        </w:tc>
        <w:tc>
          <w:tcPr>
            <w:tcW w:w="1512" w:type="dxa"/>
            <w:tcBorders>
              <w:top w:val="nil"/>
              <w:left w:val="nil"/>
              <w:bottom w:val="single" w:sz="8" w:space="0" w:color="95B3D7"/>
              <w:right w:val="nil"/>
            </w:tcBorders>
            <w:shd w:val="clear" w:color="auto" w:fill="auto"/>
            <w:vAlign w:val="center"/>
            <w:hideMark/>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5,8</w:t>
            </w:r>
          </w:p>
        </w:tc>
        <w:tc>
          <w:tcPr>
            <w:tcW w:w="1049" w:type="dxa"/>
            <w:tcBorders>
              <w:top w:val="nil"/>
              <w:left w:val="nil"/>
              <w:bottom w:val="single" w:sz="8" w:space="0" w:color="95B3D7"/>
              <w:right w:val="nil"/>
            </w:tcBorders>
            <w:shd w:val="clear" w:color="auto" w:fill="auto"/>
            <w:vAlign w:val="center"/>
            <w:hideMark/>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X</w:t>
            </w:r>
          </w:p>
        </w:tc>
        <w:tc>
          <w:tcPr>
            <w:tcW w:w="978" w:type="dxa"/>
            <w:tcBorders>
              <w:top w:val="nil"/>
              <w:left w:val="nil"/>
              <w:bottom w:val="single" w:sz="8" w:space="0" w:color="95B3D7"/>
              <w:right w:val="nil"/>
            </w:tcBorders>
            <w:shd w:val="clear" w:color="auto" w:fill="auto"/>
            <w:vAlign w:val="center"/>
            <w:hideMark/>
          </w:tcPr>
          <w:p w:rsidR="00BF3022" w:rsidRPr="006D50BF" w:rsidRDefault="00BF3022"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8,6</w:t>
            </w:r>
          </w:p>
        </w:tc>
      </w:tr>
      <w:tr w:rsidR="00BF3022"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BF3022" w:rsidRPr="006D50BF" w:rsidRDefault="00BF3022"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3.2</w:t>
            </w:r>
          </w:p>
        </w:tc>
        <w:tc>
          <w:tcPr>
            <w:tcW w:w="4302" w:type="dxa"/>
            <w:tcBorders>
              <w:top w:val="nil"/>
              <w:left w:val="nil"/>
              <w:bottom w:val="single" w:sz="8" w:space="0" w:color="95B3D7"/>
              <w:right w:val="nil"/>
            </w:tcBorders>
            <w:shd w:val="clear" w:color="auto" w:fill="auto"/>
            <w:vAlign w:val="center"/>
            <w:hideMark/>
          </w:tcPr>
          <w:p w:rsidR="00BF3022" w:rsidRPr="006D50BF" w:rsidRDefault="00BF3022"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Достаточность основного капитала</w:t>
            </w:r>
          </w:p>
        </w:tc>
        <w:tc>
          <w:tcPr>
            <w:tcW w:w="1512" w:type="dxa"/>
            <w:tcBorders>
              <w:top w:val="nil"/>
              <w:left w:val="nil"/>
              <w:bottom w:val="single" w:sz="8" w:space="0" w:color="95B3D7"/>
              <w:right w:val="nil"/>
            </w:tcBorders>
            <w:shd w:val="clear" w:color="auto" w:fill="auto"/>
            <w:vAlign w:val="center"/>
            <w:hideMark/>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9,9</w:t>
            </w:r>
          </w:p>
        </w:tc>
        <w:tc>
          <w:tcPr>
            <w:tcW w:w="1049" w:type="dxa"/>
            <w:tcBorders>
              <w:top w:val="nil"/>
              <w:left w:val="nil"/>
              <w:bottom w:val="single" w:sz="8" w:space="0" w:color="95B3D7"/>
              <w:right w:val="nil"/>
            </w:tcBorders>
            <w:shd w:val="clear" w:color="auto" w:fill="auto"/>
            <w:vAlign w:val="center"/>
            <w:hideMark/>
          </w:tcPr>
          <w:p w:rsidR="00BF3022" w:rsidRPr="009E13E9" w:rsidRDefault="00BF3022"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Х</w:t>
            </w:r>
          </w:p>
        </w:tc>
        <w:tc>
          <w:tcPr>
            <w:tcW w:w="978" w:type="dxa"/>
            <w:tcBorders>
              <w:top w:val="nil"/>
              <w:left w:val="nil"/>
              <w:bottom w:val="single" w:sz="8" w:space="0" w:color="95B3D7"/>
              <w:right w:val="nil"/>
            </w:tcBorders>
            <w:shd w:val="clear" w:color="auto" w:fill="auto"/>
            <w:vAlign w:val="center"/>
            <w:hideMark/>
          </w:tcPr>
          <w:p w:rsidR="00BF3022" w:rsidRPr="006D50BF" w:rsidRDefault="00BF3022" w:rsidP="00F94CCD">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8,6</w:t>
            </w:r>
          </w:p>
        </w:tc>
      </w:tr>
      <w:tr w:rsidR="009E13E9" w:rsidRPr="006D50BF" w:rsidTr="00F94CCD">
        <w:trPr>
          <w:trHeight w:val="60"/>
        </w:trPr>
        <w:tc>
          <w:tcPr>
            <w:tcW w:w="735" w:type="dxa"/>
            <w:tcBorders>
              <w:top w:val="nil"/>
              <w:left w:val="nil"/>
              <w:bottom w:val="single" w:sz="8" w:space="0" w:color="95B3D7"/>
              <w:right w:val="nil"/>
            </w:tcBorders>
            <w:shd w:val="clear" w:color="auto" w:fill="auto"/>
            <w:vAlign w:val="center"/>
            <w:hideMark/>
          </w:tcPr>
          <w:p w:rsidR="009E13E9" w:rsidRPr="006D50BF" w:rsidRDefault="009E13E9" w:rsidP="00644A93">
            <w:pPr>
              <w:spacing w:after="0" w:line="240" w:lineRule="auto"/>
              <w:jc w:val="center"/>
              <w:rPr>
                <w:rFonts w:ascii="Georgia" w:eastAsia="Times New Roman" w:hAnsi="Georgia" w:cs="Calibri"/>
                <w:color w:val="1F497D"/>
                <w:sz w:val="19"/>
                <w:szCs w:val="19"/>
              </w:rPr>
            </w:pPr>
            <w:r w:rsidRPr="006D50BF">
              <w:rPr>
                <w:rFonts w:ascii="Georgia" w:eastAsia="Times New Roman" w:hAnsi="Georgia" w:cs="Calibri"/>
                <w:color w:val="1F497D"/>
                <w:sz w:val="19"/>
                <w:szCs w:val="19"/>
              </w:rPr>
              <w:t>3.3</w:t>
            </w:r>
          </w:p>
        </w:tc>
        <w:tc>
          <w:tcPr>
            <w:tcW w:w="4302" w:type="dxa"/>
            <w:tcBorders>
              <w:top w:val="nil"/>
              <w:left w:val="nil"/>
              <w:bottom w:val="single" w:sz="8" w:space="0" w:color="95B3D7"/>
              <w:right w:val="nil"/>
            </w:tcBorders>
            <w:shd w:val="clear" w:color="auto" w:fill="auto"/>
            <w:vAlign w:val="center"/>
            <w:hideMark/>
          </w:tcPr>
          <w:p w:rsidR="009E13E9" w:rsidRPr="006D50BF" w:rsidRDefault="009E13E9" w:rsidP="009F7F2D">
            <w:pPr>
              <w:spacing w:after="0" w:line="240" w:lineRule="auto"/>
              <w:rPr>
                <w:rFonts w:ascii="Georgia" w:eastAsia="Times New Roman" w:hAnsi="Georgia" w:cs="Calibri"/>
                <w:color w:val="1F497D"/>
                <w:sz w:val="19"/>
                <w:szCs w:val="19"/>
              </w:rPr>
            </w:pPr>
            <w:r w:rsidRPr="006D50BF">
              <w:rPr>
                <w:rFonts w:ascii="Georgia" w:eastAsia="Times New Roman" w:hAnsi="Georgia" w:cs="Calibri"/>
                <w:color w:val="1F497D"/>
                <w:sz w:val="19"/>
                <w:szCs w:val="19"/>
              </w:rPr>
              <w:t>Достаточность собственных средств (капитала)</w:t>
            </w:r>
          </w:p>
        </w:tc>
        <w:tc>
          <w:tcPr>
            <w:tcW w:w="1512" w:type="dxa"/>
            <w:tcBorders>
              <w:top w:val="nil"/>
              <w:left w:val="nil"/>
              <w:bottom w:val="single" w:sz="8" w:space="0" w:color="95B3D7"/>
              <w:right w:val="nil"/>
            </w:tcBorders>
            <w:shd w:val="clear" w:color="auto" w:fill="auto"/>
            <w:vAlign w:val="center"/>
            <w:hideMark/>
          </w:tcPr>
          <w:p w:rsidR="009E13E9" w:rsidRPr="009E13E9" w:rsidRDefault="00BF3022" w:rsidP="00F94CCD">
            <w:pPr>
              <w:spacing w:after="0" w:line="240" w:lineRule="auto"/>
              <w:jc w:val="center"/>
              <w:rPr>
                <w:rFonts w:ascii="Georgia" w:eastAsia="Times New Roman" w:hAnsi="Georgia" w:cs="Calibri"/>
                <w:color w:val="1F497D"/>
                <w:sz w:val="19"/>
                <w:szCs w:val="19"/>
              </w:rPr>
            </w:pPr>
            <w:r>
              <w:rPr>
                <w:rFonts w:ascii="Georgia" w:eastAsia="Times New Roman" w:hAnsi="Georgia" w:cs="Calibri"/>
                <w:color w:val="1F497D"/>
                <w:sz w:val="19"/>
                <w:szCs w:val="19"/>
              </w:rPr>
              <w:t>12,4</w:t>
            </w:r>
          </w:p>
        </w:tc>
        <w:tc>
          <w:tcPr>
            <w:tcW w:w="1049" w:type="dxa"/>
            <w:tcBorders>
              <w:top w:val="nil"/>
              <w:left w:val="nil"/>
              <w:bottom w:val="single" w:sz="8" w:space="0" w:color="95B3D7"/>
              <w:right w:val="nil"/>
            </w:tcBorders>
            <w:shd w:val="clear" w:color="auto" w:fill="auto"/>
            <w:vAlign w:val="center"/>
            <w:hideMark/>
          </w:tcPr>
          <w:p w:rsidR="009E13E9" w:rsidRPr="009E13E9" w:rsidRDefault="009E13E9" w:rsidP="00F94CCD">
            <w:pPr>
              <w:spacing w:after="0" w:line="240" w:lineRule="auto"/>
              <w:jc w:val="center"/>
              <w:rPr>
                <w:rFonts w:ascii="Georgia" w:eastAsia="Times New Roman" w:hAnsi="Georgia" w:cs="Calibri"/>
                <w:color w:val="1F497D"/>
                <w:sz w:val="19"/>
                <w:szCs w:val="19"/>
              </w:rPr>
            </w:pPr>
            <w:r w:rsidRPr="009E13E9">
              <w:rPr>
                <w:rFonts w:ascii="Georgia" w:eastAsia="Times New Roman" w:hAnsi="Georgia" w:cs="Calibri"/>
                <w:color w:val="1F497D"/>
                <w:sz w:val="19"/>
                <w:szCs w:val="19"/>
              </w:rPr>
              <w:t>Х</w:t>
            </w:r>
          </w:p>
        </w:tc>
        <w:tc>
          <w:tcPr>
            <w:tcW w:w="978" w:type="dxa"/>
            <w:tcBorders>
              <w:top w:val="nil"/>
              <w:left w:val="nil"/>
              <w:bottom w:val="single" w:sz="8" w:space="0" w:color="95B3D7"/>
              <w:right w:val="nil"/>
            </w:tcBorders>
            <w:shd w:val="clear" w:color="auto" w:fill="auto"/>
            <w:vAlign w:val="center"/>
            <w:hideMark/>
          </w:tcPr>
          <w:p w:rsidR="009E13E9" w:rsidRPr="006D50BF" w:rsidRDefault="00BF3022" w:rsidP="00F94CCD">
            <w:pPr>
              <w:spacing w:after="0" w:line="240" w:lineRule="auto"/>
              <w:jc w:val="center"/>
              <w:rPr>
                <w:rFonts w:ascii="Georgia" w:eastAsia="Times New Roman" w:hAnsi="Georgia" w:cs="Calibri"/>
                <w:color w:val="1F497D"/>
                <w:sz w:val="19"/>
                <w:szCs w:val="19"/>
              </w:rPr>
            </w:pPr>
            <w:r>
              <w:rPr>
                <w:rFonts w:ascii="Georgia" w:eastAsia="Times New Roman" w:hAnsi="Georgia" w:cs="Calibri"/>
                <w:color w:val="1F497D"/>
                <w:sz w:val="19"/>
                <w:szCs w:val="19"/>
              </w:rPr>
              <w:t>11,2</w:t>
            </w:r>
          </w:p>
        </w:tc>
      </w:tr>
    </w:tbl>
    <w:p w:rsidR="009F7F2D" w:rsidRPr="006D50BF" w:rsidRDefault="009F7F2D" w:rsidP="007655FF">
      <w:pPr>
        <w:spacing w:after="0" w:line="240" w:lineRule="auto"/>
        <w:rPr>
          <w:rFonts w:ascii="Georgia" w:hAnsi="Georgia"/>
          <w:b/>
          <w:i/>
          <w:color w:val="365F91" w:themeColor="accent1" w:themeShade="BF"/>
          <w:sz w:val="28"/>
          <w:szCs w:val="24"/>
        </w:rPr>
      </w:pPr>
    </w:p>
    <w:p w:rsidR="008D0D02" w:rsidRPr="006D50BF" w:rsidRDefault="008D0D02">
      <w:pPr>
        <w:rPr>
          <w:rFonts w:ascii="Georgia" w:hAnsi="Georgia"/>
          <w:b/>
          <w:i/>
          <w:color w:val="365F91" w:themeColor="accent1" w:themeShade="BF"/>
          <w:sz w:val="28"/>
          <w:szCs w:val="24"/>
        </w:rPr>
      </w:pPr>
      <w:r w:rsidRPr="006D50BF">
        <w:rPr>
          <w:rFonts w:ascii="Georgia" w:hAnsi="Georgia"/>
          <w:b/>
          <w:i/>
          <w:color w:val="365F91" w:themeColor="accent1" w:themeShade="BF"/>
          <w:sz w:val="28"/>
          <w:szCs w:val="24"/>
        </w:rPr>
        <w:br w:type="page"/>
      </w:r>
    </w:p>
    <w:p w:rsidR="008D0D02" w:rsidRPr="006D50BF" w:rsidRDefault="008D0D02" w:rsidP="007655FF">
      <w:pPr>
        <w:spacing w:after="0" w:line="240" w:lineRule="auto"/>
        <w:rPr>
          <w:rFonts w:ascii="Georgia" w:hAnsi="Georgia"/>
          <w:b/>
          <w:i/>
          <w:color w:val="365F91" w:themeColor="accent1" w:themeShade="BF"/>
          <w:sz w:val="28"/>
          <w:szCs w:val="24"/>
        </w:rPr>
        <w:sectPr w:rsidR="008D0D02" w:rsidRPr="006D50BF" w:rsidSect="0053228A">
          <w:headerReference w:type="even" r:id="rId39"/>
          <w:headerReference w:type="default" r:id="rId40"/>
          <w:footerReference w:type="even" r:id="rId41"/>
          <w:footerReference w:type="default" r:id="rId42"/>
          <w:pgSz w:w="11906" w:h="16838"/>
          <w:pgMar w:top="851" w:right="1701" w:bottom="1134" w:left="1701" w:header="709" w:footer="709" w:gutter="0"/>
          <w:cols w:space="708"/>
          <w:titlePg/>
          <w:docGrid w:linePitch="360"/>
        </w:sectPr>
      </w:pPr>
    </w:p>
    <w:p w:rsidR="00B518BC" w:rsidRPr="006D50BF" w:rsidRDefault="00B518BC" w:rsidP="00A6731D">
      <w:pPr>
        <w:spacing w:after="0" w:line="240" w:lineRule="auto"/>
        <w:rPr>
          <w:rFonts w:ascii="Georgia" w:hAnsi="Georgia"/>
          <w:b/>
          <w:i/>
          <w:color w:val="365F91" w:themeColor="accent1" w:themeShade="BF"/>
        </w:rPr>
      </w:pPr>
      <w:r w:rsidRPr="006D50BF">
        <w:rPr>
          <w:rFonts w:ascii="Georgia" w:hAnsi="Georgia"/>
          <w:b/>
          <w:i/>
          <w:color w:val="365F91" w:themeColor="accent1" w:themeShade="BF"/>
        </w:rPr>
        <w:lastRenderedPageBreak/>
        <w:t>Раздел 2. Сведения о величине кредитного, операционного и рыночного риска, покрываемых капиталом</w:t>
      </w:r>
    </w:p>
    <w:p w:rsidR="00B518BC" w:rsidRPr="006D50BF" w:rsidRDefault="00B518BC" w:rsidP="00A6731D">
      <w:pPr>
        <w:spacing w:after="0" w:line="240" w:lineRule="auto"/>
        <w:rPr>
          <w:rFonts w:ascii="Georgia" w:hAnsi="Georgia"/>
        </w:rPr>
      </w:pPr>
      <w:r w:rsidRPr="006D50BF">
        <w:rPr>
          <w:rFonts w:ascii="Georgia" w:hAnsi="Georgia"/>
          <w:b/>
          <w:i/>
          <w:color w:val="365F91" w:themeColor="accent1" w:themeShade="BF"/>
        </w:rPr>
        <w:t>Подраздел 2.1. Кредитный риск</w:t>
      </w:r>
      <w:r w:rsidR="00386924" w:rsidRPr="006D50BF">
        <w:rPr>
          <w:rFonts w:ascii="Georgia" w:hAnsi="Georgia"/>
          <w:b/>
          <w:i/>
          <w:color w:val="365F91" w:themeColor="accent1" w:themeShade="BF"/>
          <w:sz w:val="12"/>
          <w:szCs w:val="12"/>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r>
      <w:r w:rsidR="00386924" w:rsidRPr="006D50BF">
        <w:rPr>
          <w:rFonts w:ascii="Georgia" w:hAnsi="Georgia"/>
          <w:b/>
          <w:i/>
          <w:color w:val="365F91" w:themeColor="accent1" w:themeShade="BF"/>
          <w:sz w:val="28"/>
          <w:szCs w:val="24"/>
        </w:rPr>
        <w:tab/>
        <w:t xml:space="preserve">       </w:t>
      </w:r>
      <w:r w:rsidR="00A6731D" w:rsidRPr="006D50BF">
        <w:rPr>
          <w:rFonts w:ascii="Georgia" w:hAnsi="Georgia"/>
          <w:b/>
          <w:i/>
          <w:color w:val="365F91" w:themeColor="accent1" w:themeShade="BF"/>
          <w:sz w:val="28"/>
          <w:szCs w:val="24"/>
        </w:rPr>
        <w:tab/>
        <w:t xml:space="preserve">       </w:t>
      </w:r>
      <w:r w:rsidR="00386924" w:rsidRPr="006D50BF">
        <w:rPr>
          <w:rFonts w:ascii="Georgia" w:hAnsi="Georgia"/>
        </w:rPr>
        <w:t>тыс. руб.</w:t>
      </w:r>
    </w:p>
    <w:p w:rsidR="00A6731D" w:rsidRDefault="00A6731D" w:rsidP="00A6731D">
      <w:pPr>
        <w:spacing w:after="0" w:line="240" w:lineRule="auto"/>
        <w:rPr>
          <w:rFonts w:ascii="Georgia" w:hAnsi="Georgia"/>
          <w:b/>
          <w:i/>
          <w:color w:val="365F91" w:themeColor="accent1" w:themeShade="BF"/>
          <w:sz w:val="12"/>
          <w:szCs w:val="12"/>
          <w:highlight w:val="yellow"/>
        </w:rPr>
      </w:pPr>
    </w:p>
    <w:tbl>
      <w:tblPr>
        <w:tblW w:w="14915" w:type="dxa"/>
        <w:tblInd w:w="108" w:type="dxa"/>
        <w:tblLayout w:type="fixed"/>
        <w:tblLook w:val="04A0" w:firstRow="1" w:lastRow="0" w:firstColumn="1" w:lastColumn="0" w:noHBand="0" w:noVBand="1"/>
      </w:tblPr>
      <w:tblGrid>
        <w:gridCol w:w="993"/>
        <w:gridCol w:w="4416"/>
        <w:gridCol w:w="1391"/>
        <w:gridCol w:w="2088"/>
        <w:gridCol w:w="1482"/>
        <w:gridCol w:w="1396"/>
        <w:gridCol w:w="1842"/>
        <w:gridCol w:w="1307"/>
      </w:tblGrid>
      <w:tr w:rsidR="00AA099A" w:rsidRPr="0040084F" w:rsidTr="007F4E00">
        <w:trPr>
          <w:trHeight w:val="195"/>
        </w:trPr>
        <w:tc>
          <w:tcPr>
            <w:tcW w:w="993" w:type="dxa"/>
            <w:vMerge w:val="restart"/>
            <w:tcBorders>
              <w:top w:val="nil"/>
              <w:left w:val="nil"/>
              <w:bottom w:val="single" w:sz="8" w:space="0" w:color="95B3D7"/>
              <w:right w:val="nil"/>
            </w:tcBorders>
            <w:shd w:val="clear" w:color="000000" w:fill="DCE6F1"/>
            <w:vAlign w:val="center"/>
            <w:hideMark/>
          </w:tcPr>
          <w:p w:rsidR="0040084F" w:rsidRPr="00506DD4" w:rsidRDefault="0040084F" w:rsidP="007F4E00">
            <w:pPr>
              <w:spacing w:after="0" w:line="240" w:lineRule="auto"/>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Номер строки</w:t>
            </w:r>
          </w:p>
        </w:tc>
        <w:tc>
          <w:tcPr>
            <w:tcW w:w="4416" w:type="dxa"/>
            <w:vMerge w:val="restart"/>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 xml:space="preserve">Наименование показателя </w:t>
            </w:r>
          </w:p>
        </w:tc>
        <w:tc>
          <w:tcPr>
            <w:tcW w:w="4961" w:type="dxa"/>
            <w:gridSpan w:val="3"/>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Данные на отчетную дату</w:t>
            </w:r>
          </w:p>
        </w:tc>
        <w:tc>
          <w:tcPr>
            <w:tcW w:w="4545" w:type="dxa"/>
            <w:gridSpan w:val="3"/>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Данные на начало отчетного года</w:t>
            </w:r>
          </w:p>
        </w:tc>
      </w:tr>
      <w:tr w:rsidR="007F4E00" w:rsidRPr="0040084F" w:rsidTr="007F4E00">
        <w:trPr>
          <w:trHeight w:val="1670"/>
        </w:trPr>
        <w:tc>
          <w:tcPr>
            <w:tcW w:w="993" w:type="dxa"/>
            <w:vMerge/>
            <w:tcBorders>
              <w:top w:val="nil"/>
              <w:left w:val="nil"/>
              <w:bottom w:val="single" w:sz="8" w:space="0" w:color="95B3D7"/>
              <w:right w:val="nil"/>
            </w:tcBorders>
            <w:vAlign w:val="center"/>
            <w:hideMark/>
          </w:tcPr>
          <w:p w:rsidR="0040084F" w:rsidRPr="00506DD4" w:rsidRDefault="0040084F" w:rsidP="0040084F">
            <w:pPr>
              <w:spacing w:after="0" w:line="240" w:lineRule="auto"/>
              <w:rPr>
                <w:rFonts w:ascii="Georgia" w:eastAsia="Times New Roman" w:hAnsi="Georgia" w:cs="Calibri"/>
                <w:b/>
                <w:bCs/>
                <w:color w:val="1F497D"/>
                <w:sz w:val="19"/>
                <w:szCs w:val="19"/>
              </w:rPr>
            </w:pPr>
          </w:p>
        </w:tc>
        <w:tc>
          <w:tcPr>
            <w:tcW w:w="4416" w:type="dxa"/>
            <w:vMerge/>
            <w:tcBorders>
              <w:top w:val="nil"/>
              <w:left w:val="nil"/>
              <w:bottom w:val="single" w:sz="8" w:space="0" w:color="95B3D7"/>
              <w:right w:val="nil"/>
            </w:tcBorders>
            <w:vAlign w:val="center"/>
            <w:hideMark/>
          </w:tcPr>
          <w:p w:rsidR="0040084F" w:rsidRPr="00506DD4" w:rsidRDefault="0040084F" w:rsidP="0040084F">
            <w:pPr>
              <w:spacing w:after="0" w:line="240" w:lineRule="auto"/>
              <w:rPr>
                <w:rFonts w:ascii="Georgia" w:eastAsia="Times New Roman" w:hAnsi="Georgia" w:cs="Calibri"/>
                <w:b/>
                <w:bCs/>
                <w:color w:val="1F497D"/>
                <w:sz w:val="19"/>
                <w:szCs w:val="19"/>
              </w:rPr>
            </w:pPr>
          </w:p>
        </w:tc>
        <w:tc>
          <w:tcPr>
            <w:tcW w:w="1391"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Стоимость активов (инстру</w:t>
            </w:r>
            <w:r w:rsidR="007F4E00">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ментов)</w:t>
            </w:r>
          </w:p>
        </w:tc>
        <w:tc>
          <w:tcPr>
            <w:tcW w:w="2088"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Активы (инструменты) за вычетом сформированных резервов на возможные потери</w:t>
            </w:r>
          </w:p>
        </w:tc>
        <w:tc>
          <w:tcPr>
            <w:tcW w:w="1482"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Стоимость активов (инструмен</w:t>
            </w:r>
            <w:r w:rsidR="00AA099A">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тов), взвешенных по уровню риска</w:t>
            </w:r>
          </w:p>
        </w:tc>
        <w:tc>
          <w:tcPr>
            <w:tcW w:w="1396"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Стоимость активов (инстру</w:t>
            </w:r>
            <w:r w:rsidR="00AA099A">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ментов)</w:t>
            </w:r>
          </w:p>
        </w:tc>
        <w:tc>
          <w:tcPr>
            <w:tcW w:w="1842"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Активы (инструменты) за вычетом сформирован</w:t>
            </w:r>
            <w:r w:rsidR="007F4E00">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ных резервов на возможные потери</w:t>
            </w:r>
          </w:p>
        </w:tc>
        <w:tc>
          <w:tcPr>
            <w:tcW w:w="1307" w:type="dxa"/>
            <w:tcBorders>
              <w:top w:val="nil"/>
              <w:left w:val="nil"/>
              <w:bottom w:val="single" w:sz="8" w:space="0" w:color="95B3D7"/>
              <w:right w:val="nil"/>
            </w:tcBorders>
            <w:shd w:val="clear" w:color="000000" w:fill="DCE6F1"/>
            <w:vAlign w:val="center"/>
            <w:hideMark/>
          </w:tcPr>
          <w:p w:rsidR="0040084F" w:rsidRPr="00506DD4" w:rsidRDefault="0040084F" w:rsidP="0040084F">
            <w:pPr>
              <w:spacing w:after="0" w:line="240" w:lineRule="auto"/>
              <w:jc w:val="center"/>
              <w:rPr>
                <w:rFonts w:ascii="Georgia" w:eastAsia="Times New Roman" w:hAnsi="Georgia" w:cs="Calibri"/>
                <w:b/>
                <w:bCs/>
                <w:color w:val="1F497D"/>
                <w:sz w:val="19"/>
                <w:szCs w:val="19"/>
              </w:rPr>
            </w:pPr>
            <w:r w:rsidRPr="00506DD4">
              <w:rPr>
                <w:rFonts w:ascii="Georgia" w:eastAsia="Times New Roman" w:hAnsi="Georgia" w:cs="Calibri"/>
                <w:b/>
                <w:bCs/>
                <w:color w:val="1F497D"/>
                <w:sz w:val="19"/>
                <w:szCs w:val="19"/>
              </w:rPr>
              <w:t>Стоимость активов (инстру</w:t>
            </w:r>
            <w:r w:rsidR="00AA099A">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ментов), взвешен</w:t>
            </w:r>
            <w:r w:rsidR="007F4E00">
              <w:rPr>
                <w:rFonts w:ascii="Georgia" w:eastAsia="Times New Roman" w:hAnsi="Georgia" w:cs="Calibri"/>
                <w:b/>
                <w:bCs/>
                <w:color w:val="1F497D"/>
                <w:sz w:val="19"/>
                <w:szCs w:val="19"/>
              </w:rPr>
              <w:t>-</w:t>
            </w:r>
            <w:r w:rsidRPr="00506DD4">
              <w:rPr>
                <w:rFonts w:ascii="Georgia" w:eastAsia="Times New Roman" w:hAnsi="Georgia" w:cs="Calibri"/>
                <w:b/>
                <w:bCs/>
                <w:color w:val="1F497D"/>
                <w:sz w:val="19"/>
                <w:szCs w:val="19"/>
              </w:rPr>
              <w:t>ных по уровню риска</w:t>
            </w:r>
          </w:p>
        </w:tc>
      </w:tr>
      <w:tr w:rsidR="007F4E00" w:rsidRPr="0040084F" w:rsidTr="007F4E00">
        <w:trPr>
          <w:trHeight w:val="122"/>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2</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4</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5</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6</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7</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8</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40084F">
            <w:pPr>
              <w:spacing w:after="0" w:line="240" w:lineRule="auto"/>
              <w:jc w:val="center"/>
              <w:rPr>
                <w:rFonts w:ascii="Georgia" w:eastAsia="Times New Roman" w:hAnsi="Georgia" w:cs="Calibri"/>
                <w:b/>
                <w:bCs/>
                <w:color w:val="1F497D"/>
                <w:sz w:val="20"/>
                <w:szCs w:val="20"/>
              </w:rPr>
            </w:pPr>
            <w:r w:rsidRPr="00747AEC">
              <w:rPr>
                <w:rFonts w:ascii="Georgia" w:eastAsia="Times New Roman" w:hAnsi="Georgia" w:cs="Calibri"/>
                <w:b/>
                <w:bCs/>
                <w:color w:val="1F497D"/>
                <w:sz w:val="20"/>
                <w:szCs w:val="20"/>
              </w:rPr>
              <w:t>9</w:t>
            </w:r>
          </w:p>
        </w:tc>
      </w:tr>
      <w:tr w:rsidR="007F4E00" w:rsidRPr="0040084F" w:rsidTr="007F4E00">
        <w:trPr>
          <w:trHeight w:val="394"/>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Кредитный риск по активам, отраженным на балансовых счетах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26 176 931</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24 191 440</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19 161 416</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22 107 561</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21 382 425</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14 895 153</w:t>
            </w:r>
          </w:p>
        </w:tc>
      </w:tr>
      <w:tr w:rsidR="007F4E00" w:rsidRPr="0040084F" w:rsidTr="007F4E00">
        <w:trPr>
          <w:trHeight w:val="176"/>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Активы с коэффициентом риска 0 процентов, всего,</w:t>
            </w:r>
            <w:r w:rsidRPr="00747AEC">
              <w:rPr>
                <w:rFonts w:ascii="Georgia" w:eastAsia="Times New Roman" w:hAnsi="Georgia" w:cs="Calibri"/>
                <w:color w:val="1F497D"/>
                <w:sz w:val="19"/>
                <w:szCs w:val="19"/>
              </w:rPr>
              <w:br/>
              <w:t xml:space="preserve">из них: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4 503 108</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4 503 108</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5 535 496</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5 535 496</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64"/>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1.1.1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денежные средства и обязательные резервы, депонированные в Банке России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2 298 983</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2 298 983</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1 506 576</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1 506 576</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519"/>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1.1.2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обеспеченные гарантиями Российской Федерации, Минфина России и Банка России и залогом государственных долговых ценных бумаг Российской Федерации, Минфина России и Банка России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1.1.3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к центральным банкам или правительствам стран, имеющих страновые оценки "0", "1", в том числе обеспеченные гарантиями этих стран и так далее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62"/>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Активы с коэффициентом риска 20 процентов, всего, </w:t>
            </w:r>
            <w:r w:rsidRPr="00747AEC">
              <w:rPr>
                <w:rFonts w:ascii="Georgia" w:eastAsia="Times New Roman" w:hAnsi="Georgia" w:cs="Calibri"/>
                <w:color w:val="1F497D"/>
                <w:sz w:val="19"/>
                <w:szCs w:val="19"/>
              </w:rPr>
              <w:br/>
              <w:t xml:space="preserve">из них: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708 911</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658 645</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131 729</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1 237 884</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1 189 720</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237 944</w:t>
            </w:r>
          </w:p>
        </w:tc>
      </w:tr>
      <w:tr w:rsidR="007F4E00" w:rsidRPr="0040084F" w:rsidTr="007F4E00">
        <w:trPr>
          <w:trHeight w:val="314"/>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1.2.1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к субъектам Российской Федерации, муниципальным образованиям, к иным организациям, обеспеченные гарантиями и залогом ценных бумаг субъектов РФ и муниципальных образований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lastRenderedPageBreak/>
              <w:t>1.2.2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к центральным банкам или правительствам стран, имеющих страновую оценку "2", в том числе обеспеченные их гарантиями (залогом ценных бумаг)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1.2.3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в том числе обеспеченные их гарантиями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109 780</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109 780</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21 956</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302 584</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302 584</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60 517</w:t>
            </w:r>
          </w:p>
        </w:tc>
      </w:tr>
      <w:tr w:rsidR="007F4E00" w:rsidRPr="0040084F" w:rsidTr="007F4E00">
        <w:trPr>
          <w:trHeight w:val="496"/>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Активы с коэффициентом риска 50 процентов, всего, </w:t>
            </w:r>
            <w:r w:rsidRPr="00747AEC">
              <w:rPr>
                <w:rFonts w:ascii="Georgia" w:eastAsia="Times New Roman" w:hAnsi="Georgia" w:cs="Calibri"/>
                <w:color w:val="1F497D"/>
                <w:sz w:val="19"/>
                <w:szCs w:val="19"/>
              </w:rPr>
              <w:br/>
              <w:t xml:space="preserve">из них: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601"/>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1.3.1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кредитные требования и другие требования в иностранной валюте, обеспеченные гарантиями Российской Федерации,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1.3.2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кредитные требования и другие требования к центральным банкам или правительствам стран, имеющих страновую оценку "3", в том числе обеспеченные их гарантиями (залогом ценных бумаг)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1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1.3.3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кредитные требования и другие требования к кредитным организациям - резидентам стран со страновой оценкой "0", "1", не имеющим рейтинг  долгосрочной кредитоспособности, и к кредитным организациям - резидентам стран со страновой оценкой "2", в том числе обеспеченные их гарантиями</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65"/>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Активы с коэффициентом риска 100 процентов, всего, </w:t>
            </w:r>
            <w:r w:rsidRPr="00747AEC">
              <w:rPr>
                <w:rFonts w:ascii="Georgia" w:eastAsia="Times New Roman" w:hAnsi="Georgia" w:cs="Calibri"/>
                <w:color w:val="1F497D"/>
                <w:sz w:val="19"/>
                <w:szCs w:val="19"/>
              </w:rPr>
              <w:br/>
              <w:t xml:space="preserve">из них: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20 964 912</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19 029 687</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19 029 687</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15 334 181</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14 657 209</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14 567 209</w:t>
            </w: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Активы с коэффициентом риска 150 процентов - кредитные требования и другие требования к центральным банкам или правительствам стран, имеющих страновую </w:t>
            </w:r>
            <w:r w:rsidRPr="00747AEC">
              <w:rPr>
                <w:rFonts w:ascii="Georgia" w:eastAsia="Times New Roman" w:hAnsi="Georgia" w:cs="Calibri"/>
                <w:color w:val="1F497D"/>
                <w:sz w:val="19"/>
                <w:szCs w:val="19"/>
              </w:rPr>
              <w:lastRenderedPageBreak/>
              <w:t xml:space="preserve">оценку "7"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14"/>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lastRenderedPageBreak/>
              <w:t>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Активы с иными коэффициентами риска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X</w:t>
            </w:r>
          </w:p>
        </w:tc>
      </w:tr>
      <w:tr w:rsidR="007F4E00" w:rsidRPr="0040084F" w:rsidTr="007F4E00">
        <w:trPr>
          <w:trHeight w:val="166"/>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пониженными коэффициентами риска, всего, в том числе: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955 828</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955 118</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442 121</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332 372</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332 372</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47 523</w:t>
            </w:r>
          </w:p>
        </w:tc>
      </w:tr>
      <w:tr w:rsidR="007F4E00" w:rsidRPr="0040084F" w:rsidTr="007F4E00">
        <w:trPr>
          <w:trHeight w:val="214"/>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ипотечные ссуды с коэффициентом риска 70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470 559</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470 339</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329 237</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93"/>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требования участников клиринга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293 777</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293 777</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17 383</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332 372</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332 372</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47 523</w:t>
            </w:r>
          </w:p>
        </w:tc>
      </w:tr>
      <w:tr w:rsidR="007F4E00" w:rsidRPr="0040084F" w:rsidTr="007F4E00">
        <w:trPr>
          <w:trHeight w:val="156"/>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повышенными коэффициентами риска, всего, в том числе: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5 105 763</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4 710 344</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6 866 980</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6 544 442</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5 975 239</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8 429 263</w:t>
            </w:r>
          </w:p>
        </w:tc>
      </w:tr>
      <w:tr w:rsidR="007F4E00" w:rsidRPr="0040084F" w:rsidTr="007F4E00">
        <w:trPr>
          <w:trHeight w:val="14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110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252 919</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183 701</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202 071</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1 161 849</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1 039 388</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1 143 326</w:t>
            </w:r>
          </w:p>
        </w:tc>
      </w:tr>
      <w:tr w:rsidR="007F4E00" w:rsidRPr="0040084F" w:rsidTr="007F4E00">
        <w:trPr>
          <w:trHeight w:val="105"/>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130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641 028</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625 279</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812 863</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600 548</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589 203</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765 965</w:t>
            </w:r>
          </w:p>
        </w:tc>
      </w:tr>
      <w:tr w:rsidR="007F4E00" w:rsidRPr="0040084F" w:rsidTr="007F4E00">
        <w:trPr>
          <w:trHeight w:val="15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150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4 211 816</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3 901 364</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5 852 046</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4 782 045</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4 346 648</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6 519 972</w:t>
            </w:r>
          </w:p>
        </w:tc>
      </w:tr>
      <w:tr w:rsidR="007F4E00" w:rsidRPr="0040084F" w:rsidTr="007F4E00">
        <w:trPr>
          <w:trHeight w:val="98"/>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2.2.4</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250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05"/>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2.2.5</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1000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63"/>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Кредиты на потребительские цели, всего, </w:t>
            </w:r>
            <w:r w:rsidRPr="00747AEC">
              <w:rPr>
                <w:rFonts w:ascii="Georgia" w:eastAsia="Times New Roman" w:hAnsi="Georgia" w:cs="Calibri"/>
                <w:color w:val="1F497D"/>
                <w:sz w:val="19"/>
                <w:szCs w:val="19"/>
              </w:rPr>
              <w:br/>
              <w:t xml:space="preserve">в том числе: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157</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157</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219</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69 023</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65 805</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72 386</w:t>
            </w:r>
          </w:p>
        </w:tc>
      </w:tr>
      <w:tr w:rsidR="007F4E00" w:rsidRPr="0040084F" w:rsidTr="007F4E00">
        <w:trPr>
          <w:trHeight w:val="99"/>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110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69 023</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65 805</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72 386</w:t>
            </w:r>
          </w:p>
        </w:tc>
      </w:tr>
      <w:tr w:rsidR="007F4E00" w:rsidRPr="0040084F" w:rsidTr="007F4E00">
        <w:trPr>
          <w:trHeight w:val="102"/>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140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157</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157</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219</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05"/>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170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99"/>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3.4</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200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06"/>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3.5</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300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9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3.6</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 коэффициентом риска 600 процентов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28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Кредитный риск по условным обязательствам кредитного характера, всего, </w:t>
            </w:r>
            <w:r w:rsidRPr="00747AEC">
              <w:rPr>
                <w:rFonts w:ascii="Georgia" w:eastAsia="Times New Roman" w:hAnsi="Georgia" w:cs="Calibri"/>
                <w:color w:val="1F497D"/>
                <w:sz w:val="19"/>
                <w:szCs w:val="19"/>
              </w:rPr>
              <w:br/>
              <w:t xml:space="preserve">в том числе: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1 902 115</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1 870 863</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1 196 361</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1 832 111</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1 813 407</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1 101 742</w:t>
            </w:r>
          </w:p>
        </w:tc>
      </w:tr>
      <w:tr w:rsidR="007F4E00" w:rsidRPr="0040084F" w:rsidTr="007F4E00">
        <w:trPr>
          <w:trHeight w:val="217"/>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4.1</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по финансовым инструментам с высоким риском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1 364 877</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1 357 270</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1 188 863</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1 128 478</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1 125 565</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1 082 721</w:t>
            </w:r>
          </w:p>
        </w:tc>
      </w:tr>
      <w:tr w:rsidR="007F4E00" w:rsidRPr="0040084F" w:rsidTr="007F4E00">
        <w:trPr>
          <w:trHeight w:val="153"/>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4.2</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по финансовым инструментам со средним риском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14 750</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14 723</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7 498</w:t>
            </w: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38 717</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37 853</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19 021</w:t>
            </w:r>
          </w:p>
        </w:tc>
      </w:tr>
      <w:tr w:rsidR="007F4E00" w:rsidRPr="0040084F" w:rsidTr="007F4E00">
        <w:trPr>
          <w:trHeight w:val="382"/>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4.3</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по финансовым инструментам с низким риском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33"/>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4.4</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по финансовым инструментам без риска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522 488</w:t>
            </w: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498 870</w:t>
            </w: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664 916</w:t>
            </w: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649 989</w:t>
            </w: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r w:rsidR="007F4E00" w:rsidRPr="0040084F" w:rsidTr="007F4E00">
        <w:trPr>
          <w:trHeight w:val="160"/>
        </w:trPr>
        <w:tc>
          <w:tcPr>
            <w:tcW w:w="993" w:type="dxa"/>
            <w:tcBorders>
              <w:top w:val="nil"/>
              <w:left w:val="nil"/>
              <w:bottom w:val="single" w:sz="8" w:space="0" w:color="95B3D7"/>
              <w:right w:val="nil"/>
            </w:tcBorders>
            <w:shd w:val="clear" w:color="auto" w:fill="auto"/>
            <w:vAlign w:val="center"/>
            <w:hideMark/>
          </w:tcPr>
          <w:p w:rsidR="0040084F" w:rsidRPr="00747AEC" w:rsidRDefault="0040084F" w:rsidP="007F4E00">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5</w:t>
            </w:r>
          </w:p>
        </w:tc>
        <w:tc>
          <w:tcPr>
            <w:tcW w:w="441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Кредитный риск по производным финансовым инструментам </w:t>
            </w:r>
          </w:p>
        </w:tc>
        <w:tc>
          <w:tcPr>
            <w:tcW w:w="1391"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2088"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48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96"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842"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c>
          <w:tcPr>
            <w:tcW w:w="1307" w:type="dxa"/>
            <w:tcBorders>
              <w:top w:val="nil"/>
              <w:left w:val="nil"/>
              <w:bottom w:val="single" w:sz="8" w:space="0" w:color="95B3D7"/>
              <w:right w:val="nil"/>
            </w:tcBorders>
            <w:shd w:val="clear" w:color="auto" w:fill="auto"/>
            <w:vAlign w:val="center"/>
            <w:hideMark/>
          </w:tcPr>
          <w:p w:rsidR="0040084F" w:rsidRPr="00747AEC" w:rsidRDefault="0040084F" w:rsidP="00747AEC">
            <w:pPr>
              <w:spacing w:after="0" w:line="240" w:lineRule="auto"/>
              <w:jc w:val="center"/>
              <w:rPr>
                <w:rFonts w:ascii="Georgia" w:eastAsia="Times New Roman" w:hAnsi="Georgia" w:cs="Calibri"/>
                <w:color w:val="1F497D"/>
                <w:sz w:val="19"/>
                <w:szCs w:val="19"/>
              </w:rPr>
            </w:pPr>
          </w:p>
        </w:tc>
      </w:tr>
    </w:tbl>
    <w:p w:rsidR="0040084F" w:rsidRDefault="0040084F" w:rsidP="00A6731D">
      <w:pPr>
        <w:spacing w:after="0" w:line="240" w:lineRule="auto"/>
        <w:rPr>
          <w:rFonts w:ascii="Georgia" w:hAnsi="Georgia"/>
          <w:b/>
          <w:i/>
          <w:color w:val="365F91" w:themeColor="accent1" w:themeShade="BF"/>
          <w:sz w:val="12"/>
          <w:szCs w:val="12"/>
          <w:highlight w:val="yellow"/>
        </w:rPr>
      </w:pPr>
    </w:p>
    <w:p w:rsidR="008D0D02" w:rsidRPr="00EE317B" w:rsidRDefault="00AA156D" w:rsidP="00747AEC">
      <w:pPr>
        <w:rPr>
          <w:rFonts w:ascii="Georgia" w:hAnsi="Georgia"/>
          <w:b/>
          <w:i/>
          <w:color w:val="365F91" w:themeColor="accent1" w:themeShade="BF"/>
          <w:sz w:val="28"/>
          <w:szCs w:val="24"/>
          <w:highlight w:val="yellow"/>
        </w:rPr>
        <w:sectPr w:rsidR="008D0D02" w:rsidRPr="00EE317B" w:rsidSect="003155E3">
          <w:headerReference w:type="default" r:id="rId43"/>
          <w:footerReference w:type="default" r:id="rId44"/>
          <w:footerReference w:type="first" r:id="rId45"/>
          <w:pgSz w:w="16838" w:h="11906" w:orient="landscape"/>
          <w:pgMar w:top="1276" w:right="851" w:bottom="1701" w:left="1134" w:header="709" w:footer="709" w:gutter="0"/>
          <w:cols w:space="708"/>
          <w:titlePg/>
          <w:docGrid w:linePitch="360"/>
        </w:sectPr>
      </w:pPr>
      <w:r>
        <w:rPr>
          <w:rFonts w:ascii="Georgia" w:hAnsi="Georgia"/>
          <w:b/>
          <w:i/>
          <w:noProof/>
          <w:color w:val="365F91" w:themeColor="accent1" w:themeShade="BF"/>
          <w:sz w:val="28"/>
          <w:szCs w:val="24"/>
          <w:highlight w:val="yellow"/>
        </w:rPr>
        <w:pict>
          <v:rect id="Rectangle 45" o:spid="_x0000_s1027" style="position:absolute;margin-left:-.95pt;margin-top:166.1pt;width:597.75pt;height:72.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" stroked="f"/>
        </w:pict>
      </w:r>
    </w:p>
    <w:p w:rsidR="00501AEE" w:rsidRPr="00425E4F" w:rsidRDefault="00501AEE" w:rsidP="00BE0B80">
      <w:pPr>
        <w:spacing w:after="120" w:line="240" w:lineRule="auto"/>
        <w:rPr>
          <w:rFonts w:ascii="Georgia" w:hAnsi="Georgia"/>
          <w:b/>
          <w:i/>
          <w:color w:val="365F91" w:themeColor="accent1" w:themeShade="BF"/>
          <w:sz w:val="20"/>
          <w:szCs w:val="20"/>
        </w:rPr>
      </w:pPr>
    </w:p>
    <w:p w:rsidR="00463C82" w:rsidRPr="00747AEC" w:rsidRDefault="00463C82" w:rsidP="00A6731D">
      <w:pPr>
        <w:spacing w:after="0" w:line="240" w:lineRule="auto"/>
        <w:rPr>
          <w:rFonts w:ascii="Georgia" w:hAnsi="Georgia"/>
        </w:rPr>
      </w:pPr>
      <w:r w:rsidRPr="00747AEC">
        <w:rPr>
          <w:rFonts w:ascii="Georgia" w:hAnsi="Georgia"/>
          <w:b/>
          <w:i/>
          <w:color w:val="365F91" w:themeColor="accent1" w:themeShade="BF"/>
        </w:rPr>
        <w:t>Подраздел 2.2. Операционный риск</w:t>
      </w:r>
      <w:r w:rsidR="00A6731D" w:rsidRPr="00747AEC">
        <w:rPr>
          <w:rFonts w:ascii="Georgia" w:hAnsi="Georgia"/>
          <w:b/>
          <w:i/>
          <w:color w:val="365F91" w:themeColor="accent1" w:themeShade="BF"/>
        </w:rPr>
        <w:t xml:space="preserve"> </w:t>
      </w:r>
      <w:r w:rsidR="00A6731D" w:rsidRPr="00747AEC">
        <w:rPr>
          <w:rFonts w:ascii="Georgia" w:hAnsi="Georgia"/>
          <w:b/>
          <w:i/>
          <w:color w:val="365F91" w:themeColor="accent1" w:themeShade="BF"/>
        </w:rPr>
        <w:tab/>
      </w:r>
      <w:r w:rsidR="00A6731D" w:rsidRPr="00747AEC">
        <w:rPr>
          <w:rFonts w:ascii="Georgia" w:hAnsi="Georgia"/>
          <w:b/>
          <w:i/>
          <w:color w:val="365F91" w:themeColor="accent1" w:themeShade="BF"/>
        </w:rPr>
        <w:tab/>
      </w:r>
      <w:r w:rsidR="00A6731D" w:rsidRPr="00747AEC">
        <w:rPr>
          <w:rFonts w:ascii="Georgia" w:hAnsi="Georgia"/>
          <w:b/>
          <w:i/>
          <w:color w:val="365F91" w:themeColor="accent1" w:themeShade="BF"/>
        </w:rPr>
        <w:tab/>
        <w:t xml:space="preserve">      </w:t>
      </w:r>
      <w:r w:rsidR="00A6731D" w:rsidRPr="00747AEC">
        <w:rPr>
          <w:rFonts w:ascii="Georgia" w:hAnsi="Georgia"/>
        </w:rPr>
        <w:t>тыс. руб. (кол-во)</w:t>
      </w:r>
    </w:p>
    <w:p w:rsidR="00A6731D" w:rsidRPr="00747AEC" w:rsidRDefault="00A6731D" w:rsidP="00A6731D">
      <w:pPr>
        <w:spacing w:after="0" w:line="240" w:lineRule="auto"/>
        <w:rPr>
          <w:rFonts w:ascii="Georgia" w:hAnsi="Georgia"/>
          <w:b/>
          <w:i/>
          <w:color w:val="365F91" w:themeColor="accent1" w:themeShade="BF"/>
          <w:sz w:val="12"/>
          <w:szCs w:val="12"/>
        </w:rPr>
      </w:pPr>
    </w:p>
    <w:tbl>
      <w:tblPr>
        <w:tblW w:w="8431" w:type="dxa"/>
        <w:tblCellMar>
          <w:left w:w="0" w:type="dxa"/>
          <w:right w:w="0" w:type="dxa"/>
        </w:tblCellMar>
        <w:tblLook w:val="04A0" w:firstRow="1" w:lastRow="0" w:firstColumn="1" w:lastColumn="0" w:noHBand="0" w:noVBand="1"/>
      </w:tblPr>
      <w:tblGrid>
        <w:gridCol w:w="764"/>
        <w:gridCol w:w="4536"/>
        <w:gridCol w:w="1134"/>
        <w:gridCol w:w="1997"/>
      </w:tblGrid>
      <w:tr w:rsidR="00463C82" w:rsidRPr="00747AEC" w:rsidTr="00BE0B80">
        <w:trPr>
          <w:trHeight w:val="296"/>
        </w:trPr>
        <w:tc>
          <w:tcPr>
            <w:tcW w:w="764"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Номер строки</w:t>
            </w:r>
          </w:p>
        </w:tc>
        <w:tc>
          <w:tcPr>
            <w:tcW w:w="4536"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Наименование показателя</w:t>
            </w:r>
          </w:p>
        </w:tc>
        <w:tc>
          <w:tcPr>
            <w:tcW w:w="1134"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Данные на отчетную дату</w:t>
            </w:r>
          </w:p>
        </w:tc>
        <w:tc>
          <w:tcPr>
            <w:tcW w:w="1997" w:type="dxa"/>
            <w:tcBorders>
              <w:top w:val="nil"/>
              <w:left w:val="nil"/>
              <w:bottom w:val="single" w:sz="8" w:space="0" w:color="95B3D7"/>
              <w:right w:val="nil"/>
            </w:tcBorders>
            <w:shd w:val="clear" w:color="000000" w:fill="DBE5F1"/>
            <w:vAlign w:val="center"/>
            <w:hideMark/>
          </w:tcPr>
          <w:p w:rsidR="00463C82" w:rsidRPr="00747AEC" w:rsidRDefault="00747AEC"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Данные на начало отчетного года</w:t>
            </w:r>
          </w:p>
        </w:tc>
      </w:tr>
      <w:tr w:rsidR="00463C82"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1</w:t>
            </w:r>
          </w:p>
        </w:tc>
        <w:tc>
          <w:tcPr>
            <w:tcW w:w="4536" w:type="dxa"/>
            <w:tcBorders>
              <w:top w:val="nil"/>
              <w:left w:val="nil"/>
              <w:bottom w:val="single" w:sz="8" w:space="0" w:color="95B3D7"/>
              <w:right w:val="nil"/>
            </w:tcBorders>
            <w:shd w:val="clear" w:color="auto" w:fill="auto"/>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2</w:t>
            </w:r>
          </w:p>
        </w:tc>
        <w:tc>
          <w:tcPr>
            <w:tcW w:w="1134" w:type="dxa"/>
            <w:tcBorders>
              <w:top w:val="nil"/>
              <w:left w:val="nil"/>
              <w:bottom w:val="single" w:sz="8" w:space="0" w:color="95B3D7"/>
              <w:right w:val="nil"/>
            </w:tcBorders>
            <w:shd w:val="clear" w:color="auto" w:fill="auto"/>
            <w:vAlign w:val="center"/>
            <w:hideMark/>
          </w:tcPr>
          <w:p w:rsidR="00463C82" w:rsidRPr="00747AEC" w:rsidRDefault="00386924"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3</w:t>
            </w:r>
          </w:p>
        </w:tc>
        <w:tc>
          <w:tcPr>
            <w:tcW w:w="1997" w:type="dxa"/>
            <w:tcBorders>
              <w:top w:val="nil"/>
              <w:left w:val="nil"/>
              <w:bottom w:val="single" w:sz="8" w:space="0" w:color="95B3D7"/>
              <w:right w:val="nil"/>
            </w:tcBorders>
            <w:shd w:val="clear" w:color="auto" w:fill="auto"/>
            <w:vAlign w:val="center"/>
            <w:hideMark/>
          </w:tcPr>
          <w:p w:rsidR="00463C82" w:rsidRPr="00747AEC" w:rsidRDefault="00386924"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4</w:t>
            </w:r>
          </w:p>
        </w:tc>
      </w:tr>
      <w:tr w:rsidR="00747AEC"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w:t>
            </w:r>
          </w:p>
        </w:tc>
        <w:tc>
          <w:tcPr>
            <w:tcW w:w="453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Операционный риск, всего, в том числе: </w:t>
            </w:r>
          </w:p>
        </w:tc>
        <w:tc>
          <w:tcPr>
            <w:tcW w:w="1134"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138 473   </w:t>
            </w:r>
          </w:p>
        </w:tc>
        <w:tc>
          <w:tcPr>
            <w:tcW w:w="19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115 595   </w:t>
            </w:r>
          </w:p>
        </w:tc>
      </w:tr>
      <w:tr w:rsidR="00747AEC"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6.1</w:t>
            </w:r>
          </w:p>
        </w:tc>
        <w:tc>
          <w:tcPr>
            <w:tcW w:w="453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Доходы для целей расчета капитала на покрытие операционного риска, всего, в том числе: </w:t>
            </w:r>
          </w:p>
        </w:tc>
        <w:tc>
          <w:tcPr>
            <w:tcW w:w="1134"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2 769 464   </w:t>
            </w:r>
          </w:p>
        </w:tc>
        <w:tc>
          <w:tcPr>
            <w:tcW w:w="19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2 311 895   </w:t>
            </w:r>
          </w:p>
        </w:tc>
      </w:tr>
      <w:tr w:rsidR="00747AEC"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6.1.1</w:t>
            </w:r>
          </w:p>
        </w:tc>
        <w:tc>
          <w:tcPr>
            <w:tcW w:w="453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чистые процентные доходы </w:t>
            </w:r>
          </w:p>
        </w:tc>
        <w:tc>
          <w:tcPr>
            <w:tcW w:w="1134"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1 592 220   </w:t>
            </w:r>
          </w:p>
        </w:tc>
        <w:tc>
          <w:tcPr>
            <w:tcW w:w="19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1 562 376   </w:t>
            </w:r>
          </w:p>
        </w:tc>
      </w:tr>
      <w:tr w:rsidR="00747AEC"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6.1.2</w:t>
            </w:r>
          </w:p>
        </w:tc>
        <w:tc>
          <w:tcPr>
            <w:tcW w:w="453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чистые непроцентные доходы </w:t>
            </w:r>
          </w:p>
        </w:tc>
        <w:tc>
          <w:tcPr>
            <w:tcW w:w="1134"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1 177 244   </w:t>
            </w:r>
          </w:p>
        </w:tc>
        <w:tc>
          <w:tcPr>
            <w:tcW w:w="19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749 519   </w:t>
            </w:r>
          </w:p>
        </w:tc>
      </w:tr>
      <w:tr w:rsidR="00747AEC" w:rsidRPr="00747AEC" w:rsidTr="00BE0B80">
        <w:trPr>
          <w:trHeight w:val="60"/>
        </w:trPr>
        <w:tc>
          <w:tcPr>
            <w:tcW w:w="764"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6.2</w:t>
            </w:r>
          </w:p>
        </w:tc>
        <w:tc>
          <w:tcPr>
            <w:tcW w:w="453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Количество лет, предшествующих дате расчета величины операционного риска </w:t>
            </w:r>
          </w:p>
        </w:tc>
        <w:tc>
          <w:tcPr>
            <w:tcW w:w="1134"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3   </w:t>
            </w:r>
          </w:p>
        </w:tc>
        <w:tc>
          <w:tcPr>
            <w:tcW w:w="19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3   </w:t>
            </w:r>
          </w:p>
        </w:tc>
      </w:tr>
    </w:tbl>
    <w:p w:rsidR="00463C82" w:rsidRPr="00EE317B" w:rsidRDefault="00463C82">
      <w:pPr>
        <w:rPr>
          <w:rFonts w:ascii="Georgia" w:hAnsi="Georgia"/>
          <w:b/>
          <w:i/>
          <w:color w:val="365F91" w:themeColor="accent1" w:themeShade="BF"/>
          <w:sz w:val="12"/>
          <w:szCs w:val="12"/>
          <w:highlight w:val="yellow"/>
        </w:rPr>
      </w:pPr>
    </w:p>
    <w:p w:rsidR="00463C82" w:rsidRPr="00747AEC" w:rsidRDefault="00463C82" w:rsidP="00A6731D">
      <w:pPr>
        <w:spacing w:after="0" w:line="240" w:lineRule="auto"/>
        <w:rPr>
          <w:rFonts w:ascii="Georgia" w:hAnsi="Georgia"/>
        </w:rPr>
      </w:pPr>
      <w:r w:rsidRPr="00747AEC">
        <w:rPr>
          <w:rFonts w:ascii="Georgia" w:hAnsi="Georgia"/>
          <w:b/>
          <w:i/>
          <w:color w:val="365F91" w:themeColor="accent1" w:themeShade="BF"/>
          <w:szCs w:val="24"/>
        </w:rPr>
        <w:t>Подраздел 2.3. Рыночный риск</w:t>
      </w:r>
      <w:r w:rsidR="00A6731D" w:rsidRPr="00747AEC">
        <w:rPr>
          <w:rFonts w:ascii="Georgia" w:hAnsi="Georgia"/>
        </w:rPr>
        <w:t xml:space="preserve"> </w:t>
      </w:r>
      <w:r w:rsidR="00A6731D" w:rsidRPr="00747AEC">
        <w:rPr>
          <w:rFonts w:ascii="Georgia" w:hAnsi="Georgia"/>
        </w:rPr>
        <w:tab/>
      </w:r>
      <w:r w:rsidR="00A6731D" w:rsidRPr="00747AEC">
        <w:rPr>
          <w:rFonts w:ascii="Georgia" w:hAnsi="Georgia"/>
        </w:rPr>
        <w:tab/>
      </w:r>
      <w:r w:rsidR="00A6731D" w:rsidRPr="00747AEC">
        <w:rPr>
          <w:rFonts w:ascii="Georgia" w:hAnsi="Georgia"/>
        </w:rPr>
        <w:tab/>
      </w:r>
      <w:r w:rsidR="00A6731D" w:rsidRPr="00747AEC">
        <w:rPr>
          <w:rFonts w:ascii="Georgia" w:hAnsi="Georgia"/>
        </w:rPr>
        <w:tab/>
      </w:r>
      <w:r w:rsidR="00A6731D" w:rsidRPr="00747AEC">
        <w:rPr>
          <w:rFonts w:ascii="Georgia" w:hAnsi="Georgia"/>
        </w:rPr>
        <w:tab/>
        <w:t xml:space="preserve">         тыс. руб.</w:t>
      </w:r>
    </w:p>
    <w:p w:rsidR="00A6731D" w:rsidRPr="00747AEC" w:rsidRDefault="00A6731D" w:rsidP="00A6731D">
      <w:pPr>
        <w:spacing w:after="0" w:line="240" w:lineRule="auto"/>
        <w:rPr>
          <w:rFonts w:ascii="Georgia" w:hAnsi="Georgia"/>
          <w:b/>
          <w:i/>
          <w:color w:val="365F91" w:themeColor="accent1" w:themeShade="BF"/>
          <w:sz w:val="12"/>
          <w:szCs w:val="12"/>
        </w:rPr>
      </w:pPr>
    </w:p>
    <w:tbl>
      <w:tblPr>
        <w:tblW w:w="8429" w:type="dxa"/>
        <w:tblLayout w:type="fixed"/>
        <w:tblCellMar>
          <w:left w:w="0" w:type="dxa"/>
          <w:right w:w="0" w:type="dxa"/>
        </w:tblCellMar>
        <w:tblLook w:val="04A0" w:firstRow="1" w:lastRow="0" w:firstColumn="1" w:lastColumn="0" w:noHBand="0" w:noVBand="1"/>
      </w:tblPr>
      <w:tblGrid>
        <w:gridCol w:w="756"/>
        <w:gridCol w:w="4480"/>
        <w:gridCol w:w="1197"/>
        <w:gridCol w:w="1996"/>
      </w:tblGrid>
      <w:tr w:rsidR="00463C82" w:rsidRPr="00747AEC" w:rsidTr="00F841BA">
        <w:trPr>
          <w:trHeight w:val="409"/>
        </w:trPr>
        <w:tc>
          <w:tcPr>
            <w:tcW w:w="756"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Номер строки</w:t>
            </w:r>
          </w:p>
        </w:tc>
        <w:tc>
          <w:tcPr>
            <w:tcW w:w="4480"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Наименование показателя</w:t>
            </w:r>
          </w:p>
        </w:tc>
        <w:tc>
          <w:tcPr>
            <w:tcW w:w="1197" w:type="dxa"/>
            <w:tcBorders>
              <w:top w:val="nil"/>
              <w:left w:val="nil"/>
              <w:bottom w:val="single" w:sz="8" w:space="0" w:color="95B3D7"/>
              <w:right w:val="nil"/>
            </w:tcBorders>
            <w:shd w:val="clear" w:color="000000" w:fill="DBE5F1"/>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Данные на отчетную дату</w:t>
            </w:r>
          </w:p>
        </w:tc>
        <w:tc>
          <w:tcPr>
            <w:tcW w:w="1996" w:type="dxa"/>
            <w:tcBorders>
              <w:top w:val="nil"/>
              <w:left w:val="nil"/>
              <w:bottom w:val="single" w:sz="8" w:space="0" w:color="95B3D7"/>
              <w:right w:val="nil"/>
            </w:tcBorders>
            <w:shd w:val="clear" w:color="000000" w:fill="DBE5F1"/>
            <w:vAlign w:val="center"/>
            <w:hideMark/>
          </w:tcPr>
          <w:p w:rsidR="00463C82" w:rsidRPr="00747AEC" w:rsidRDefault="00C83AE1" w:rsidP="00463C82">
            <w:pPr>
              <w:spacing w:after="0" w:line="240" w:lineRule="auto"/>
              <w:jc w:val="center"/>
              <w:rPr>
                <w:rFonts w:ascii="Georgia" w:eastAsia="Times New Roman" w:hAnsi="Georgia" w:cs="Calibri"/>
                <w:b/>
                <w:bCs/>
                <w:color w:val="1F497D"/>
                <w:sz w:val="19"/>
                <w:szCs w:val="19"/>
              </w:rPr>
            </w:pPr>
            <w:r w:rsidRPr="00C83AE1">
              <w:rPr>
                <w:rFonts w:ascii="Georgia" w:eastAsia="Times New Roman" w:hAnsi="Georgia" w:cs="Calibri"/>
                <w:b/>
                <w:bCs/>
                <w:color w:val="1F497D"/>
                <w:sz w:val="19"/>
                <w:szCs w:val="19"/>
              </w:rPr>
              <w:t>Данные на начало отчетного года</w:t>
            </w:r>
          </w:p>
        </w:tc>
      </w:tr>
      <w:tr w:rsidR="00463C82"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1</w:t>
            </w:r>
          </w:p>
        </w:tc>
        <w:tc>
          <w:tcPr>
            <w:tcW w:w="4480" w:type="dxa"/>
            <w:tcBorders>
              <w:top w:val="nil"/>
              <w:left w:val="nil"/>
              <w:bottom w:val="single" w:sz="8" w:space="0" w:color="95B3D7"/>
              <w:right w:val="nil"/>
            </w:tcBorders>
            <w:shd w:val="clear" w:color="auto" w:fill="auto"/>
            <w:vAlign w:val="center"/>
            <w:hideMark/>
          </w:tcPr>
          <w:p w:rsidR="00463C82" w:rsidRPr="00747AEC" w:rsidRDefault="00463C82"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2</w:t>
            </w:r>
          </w:p>
        </w:tc>
        <w:tc>
          <w:tcPr>
            <w:tcW w:w="1197" w:type="dxa"/>
            <w:tcBorders>
              <w:top w:val="nil"/>
              <w:left w:val="nil"/>
              <w:bottom w:val="single" w:sz="8" w:space="0" w:color="95B3D7"/>
              <w:right w:val="nil"/>
            </w:tcBorders>
            <w:shd w:val="clear" w:color="auto" w:fill="auto"/>
            <w:vAlign w:val="center"/>
            <w:hideMark/>
          </w:tcPr>
          <w:p w:rsidR="00463C82" w:rsidRPr="00747AEC" w:rsidRDefault="00386924"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3</w:t>
            </w:r>
          </w:p>
        </w:tc>
        <w:tc>
          <w:tcPr>
            <w:tcW w:w="1996" w:type="dxa"/>
            <w:tcBorders>
              <w:top w:val="nil"/>
              <w:left w:val="nil"/>
              <w:bottom w:val="single" w:sz="8" w:space="0" w:color="95B3D7"/>
              <w:right w:val="nil"/>
            </w:tcBorders>
            <w:shd w:val="clear" w:color="auto" w:fill="auto"/>
            <w:vAlign w:val="center"/>
            <w:hideMark/>
          </w:tcPr>
          <w:p w:rsidR="00463C82" w:rsidRPr="00747AEC" w:rsidRDefault="00386924" w:rsidP="00463C82">
            <w:pPr>
              <w:spacing w:after="0" w:line="240" w:lineRule="auto"/>
              <w:jc w:val="center"/>
              <w:rPr>
                <w:rFonts w:ascii="Georgia" w:eastAsia="Times New Roman" w:hAnsi="Georgia" w:cs="Calibri"/>
                <w:b/>
                <w:bCs/>
                <w:color w:val="1F497D"/>
                <w:sz w:val="19"/>
                <w:szCs w:val="19"/>
              </w:rPr>
            </w:pPr>
            <w:r w:rsidRPr="00747AEC">
              <w:rPr>
                <w:rFonts w:ascii="Georgia" w:eastAsia="Times New Roman" w:hAnsi="Georgia" w:cs="Calibri"/>
                <w:b/>
                <w:bCs/>
                <w:color w:val="1F497D"/>
                <w:sz w:val="19"/>
                <w:szCs w:val="19"/>
              </w:rPr>
              <w:t>4</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Совокупный рыночный риск, всего, в том числе: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1 429 263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1 518 708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7.1</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процентный риск, всего, в том числе: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76 708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75 536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7.1.1</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общий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16 181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12 410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7.1.2</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специальный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60 527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63 126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7.2</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фондовый риск, всего, в том числе: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37 633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45 961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7.2.1</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общий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18 816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22 980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7.2.2</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специальный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18 817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22 981   </w:t>
            </w:r>
          </w:p>
        </w:tc>
      </w:tr>
      <w:tr w:rsidR="00747AEC" w:rsidRPr="00747AEC" w:rsidTr="00F841BA">
        <w:trPr>
          <w:trHeight w:val="60"/>
        </w:trPr>
        <w:tc>
          <w:tcPr>
            <w:tcW w:w="756"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jc w:val="center"/>
              <w:rPr>
                <w:rFonts w:ascii="Georgia" w:eastAsia="Times New Roman" w:hAnsi="Georgia" w:cs="Calibri"/>
                <w:color w:val="1F497D"/>
                <w:sz w:val="19"/>
                <w:szCs w:val="19"/>
              </w:rPr>
            </w:pPr>
            <w:r w:rsidRPr="00747AEC">
              <w:rPr>
                <w:rFonts w:ascii="Georgia" w:eastAsia="Times New Roman" w:hAnsi="Georgia" w:cs="Calibri"/>
                <w:color w:val="1F497D"/>
                <w:sz w:val="19"/>
                <w:szCs w:val="19"/>
              </w:rPr>
              <w:t>7.3</w:t>
            </w:r>
          </w:p>
        </w:tc>
        <w:tc>
          <w:tcPr>
            <w:tcW w:w="4480" w:type="dxa"/>
            <w:tcBorders>
              <w:top w:val="nil"/>
              <w:left w:val="nil"/>
              <w:bottom w:val="single" w:sz="8" w:space="0" w:color="95B3D7"/>
              <w:right w:val="nil"/>
            </w:tcBorders>
            <w:shd w:val="clear" w:color="auto" w:fill="auto"/>
            <w:vAlign w:val="center"/>
            <w:hideMark/>
          </w:tcPr>
          <w:p w:rsidR="00747AEC" w:rsidRPr="00747AEC" w:rsidRDefault="00747AEC" w:rsidP="00463C82">
            <w:pPr>
              <w:spacing w:after="0" w:line="240" w:lineRule="auto"/>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валютный риск </w:t>
            </w:r>
          </w:p>
        </w:tc>
        <w:tc>
          <w:tcPr>
            <w:tcW w:w="1197"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     </w:t>
            </w:r>
          </w:p>
        </w:tc>
        <w:tc>
          <w:tcPr>
            <w:tcW w:w="1996" w:type="dxa"/>
            <w:tcBorders>
              <w:top w:val="nil"/>
              <w:left w:val="nil"/>
              <w:bottom w:val="single" w:sz="8" w:space="0" w:color="95B3D7"/>
              <w:right w:val="nil"/>
            </w:tcBorders>
            <w:shd w:val="clear" w:color="auto" w:fill="auto"/>
            <w:vAlign w:val="center"/>
            <w:hideMark/>
          </w:tcPr>
          <w:p w:rsidR="00747AEC" w:rsidRPr="00747AEC" w:rsidRDefault="00747AEC" w:rsidP="00747AEC">
            <w:pPr>
              <w:spacing w:after="0" w:line="240" w:lineRule="auto"/>
              <w:jc w:val="right"/>
              <w:rPr>
                <w:rFonts w:ascii="Georgia" w:eastAsia="Times New Roman" w:hAnsi="Georgia" w:cs="Calibri"/>
                <w:color w:val="1F497D"/>
                <w:sz w:val="19"/>
                <w:szCs w:val="19"/>
              </w:rPr>
            </w:pPr>
            <w:r w:rsidRPr="00747AEC">
              <w:rPr>
                <w:rFonts w:ascii="Georgia" w:eastAsia="Times New Roman" w:hAnsi="Georgia" w:cs="Calibri"/>
                <w:color w:val="1F497D"/>
                <w:sz w:val="19"/>
                <w:szCs w:val="19"/>
              </w:rPr>
              <w:t xml:space="preserve">                     -     </w:t>
            </w:r>
          </w:p>
        </w:tc>
      </w:tr>
    </w:tbl>
    <w:p w:rsidR="00463C82" w:rsidRPr="00EE317B" w:rsidRDefault="00463C82">
      <w:pPr>
        <w:rPr>
          <w:rFonts w:ascii="Georgia" w:hAnsi="Georgia"/>
          <w:b/>
          <w:i/>
          <w:color w:val="365F91" w:themeColor="accent1" w:themeShade="BF"/>
          <w:sz w:val="12"/>
          <w:szCs w:val="12"/>
          <w:highlight w:val="yellow"/>
        </w:rPr>
      </w:pPr>
    </w:p>
    <w:p w:rsidR="00463C82" w:rsidRPr="005C50F3" w:rsidRDefault="00463C82" w:rsidP="000A1B37">
      <w:pPr>
        <w:spacing w:after="0" w:line="240" w:lineRule="auto"/>
        <w:rPr>
          <w:rFonts w:ascii="Georgia" w:hAnsi="Georgia"/>
        </w:rPr>
      </w:pPr>
      <w:r w:rsidRPr="005C50F3">
        <w:rPr>
          <w:rFonts w:ascii="Georgia" w:hAnsi="Georgia"/>
          <w:b/>
          <w:i/>
          <w:color w:val="365F91" w:themeColor="accent1" w:themeShade="BF"/>
          <w:szCs w:val="24"/>
        </w:rPr>
        <w:t xml:space="preserve">Раздел 3. </w:t>
      </w:r>
      <w:r w:rsidR="00233DE1" w:rsidRPr="00233DE1">
        <w:rPr>
          <w:rFonts w:ascii="Georgia" w:hAnsi="Georgia"/>
          <w:b/>
          <w:i/>
          <w:color w:val="365F91" w:themeColor="accent1" w:themeShade="BF"/>
          <w:szCs w:val="24"/>
        </w:rPr>
        <w:t>Информация о величине резервов на возможные потери по ссудам и иным активам</w:t>
      </w:r>
      <w:r w:rsidR="000A1B37" w:rsidRPr="005C50F3">
        <w:rPr>
          <w:rFonts w:ascii="Georgia" w:hAnsi="Georgia"/>
        </w:rPr>
        <w:tab/>
      </w:r>
      <w:r w:rsidR="000A1B37" w:rsidRPr="005C50F3">
        <w:rPr>
          <w:rFonts w:ascii="Georgia" w:hAnsi="Georgia"/>
        </w:rPr>
        <w:tab/>
      </w:r>
      <w:r w:rsidR="000A1B37" w:rsidRPr="005C50F3">
        <w:rPr>
          <w:rFonts w:ascii="Georgia" w:hAnsi="Georgia"/>
        </w:rPr>
        <w:tab/>
      </w:r>
      <w:r w:rsidR="000A1B37" w:rsidRPr="005C50F3">
        <w:rPr>
          <w:rFonts w:ascii="Georgia" w:hAnsi="Georgia"/>
        </w:rPr>
        <w:tab/>
        <w:t xml:space="preserve">         </w:t>
      </w:r>
      <w:r w:rsidR="00233DE1">
        <w:rPr>
          <w:rFonts w:ascii="Georgia" w:hAnsi="Georgia"/>
        </w:rPr>
        <w:t xml:space="preserve">                         </w:t>
      </w:r>
      <w:r w:rsidR="000A1B37" w:rsidRPr="005C50F3">
        <w:rPr>
          <w:rFonts w:ascii="Georgia" w:hAnsi="Georgia"/>
        </w:rPr>
        <w:t>тыс. руб.</w:t>
      </w:r>
    </w:p>
    <w:p w:rsidR="000A1B37" w:rsidRPr="005C50F3" w:rsidRDefault="000A1B37" w:rsidP="000A1B37">
      <w:pPr>
        <w:spacing w:after="0" w:line="240" w:lineRule="auto"/>
        <w:rPr>
          <w:rFonts w:ascii="Georgia" w:hAnsi="Georgia"/>
          <w:b/>
          <w:i/>
          <w:color w:val="365F91" w:themeColor="accent1" w:themeShade="BF"/>
          <w:sz w:val="12"/>
          <w:szCs w:val="12"/>
        </w:rPr>
      </w:pPr>
    </w:p>
    <w:tbl>
      <w:tblPr>
        <w:tblW w:w="8364" w:type="dxa"/>
        <w:tblLayout w:type="fixed"/>
        <w:tblCellMar>
          <w:left w:w="0" w:type="dxa"/>
          <w:right w:w="0" w:type="dxa"/>
        </w:tblCellMar>
        <w:tblLook w:val="04A0" w:firstRow="1" w:lastRow="0" w:firstColumn="1" w:lastColumn="0" w:noHBand="0" w:noVBand="1"/>
      </w:tblPr>
      <w:tblGrid>
        <w:gridCol w:w="764"/>
        <w:gridCol w:w="3517"/>
        <w:gridCol w:w="1134"/>
        <w:gridCol w:w="1815"/>
        <w:gridCol w:w="1134"/>
      </w:tblGrid>
      <w:tr w:rsidR="00463C82" w:rsidRPr="005C50F3" w:rsidTr="006D50BF">
        <w:trPr>
          <w:trHeight w:val="600"/>
        </w:trPr>
        <w:tc>
          <w:tcPr>
            <w:tcW w:w="764" w:type="dxa"/>
            <w:tcBorders>
              <w:top w:val="nil"/>
              <w:left w:val="nil"/>
              <w:bottom w:val="single" w:sz="8" w:space="0" w:color="95B3D7"/>
              <w:right w:val="nil"/>
            </w:tcBorders>
            <w:shd w:val="clear" w:color="000000" w:fill="DBE5F1"/>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 xml:space="preserve">Номер </w:t>
            </w:r>
            <w:r w:rsidRPr="005C50F3">
              <w:rPr>
                <w:rFonts w:ascii="Georgia" w:eastAsia="Times New Roman" w:hAnsi="Georgia" w:cs="Calibri"/>
                <w:b/>
                <w:bCs/>
                <w:color w:val="1F497D"/>
                <w:sz w:val="19"/>
                <w:szCs w:val="19"/>
              </w:rPr>
              <w:br/>
              <w:t>строки</w:t>
            </w:r>
          </w:p>
        </w:tc>
        <w:tc>
          <w:tcPr>
            <w:tcW w:w="3517" w:type="dxa"/>
            <w:tcBorders>
              <w:top w:val="nil"/>
              <w:left w:val="nil"/>
              <w:bottom w:val="single" w:sz="8" w:space="0" w:color="95B3D7"/>
              <w:right w:val="nil"/>
            </w:tcBorders>
            <w:shd w:val="clear" w:color="000000" w:fill="DBE5F1"/>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Наименование показателя</w:t>
            </w:r>
          </w:p>
        </w:tc>
        <w:tc>
          <w:tcPr>
            <w:tcW w:w="1134" w:type="dxa"/>
            <w:tcBorders>
              <w:top w:val="nil"/>
              <w:left w:val="nil"/>
              <w:bottom w:val="single" w:sz="8" w:space="0" w:color="95B3D7"/>
              <w:right w:val="nil"/>
            </w:tcBorders>
            <w:shd w:val="clear" w:color="000000" w:fill="DBE5F1"/>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Данные на начало отчетного года</w:t>
            </w:r>
          </w:p>
        </w:tc>
        <w:tc>
          <w:tcPr>
            <w:tcW w:w="1815" w:type="dxa"/>
            <w:tcBorders>
              <w:top w:val="nil"/>
              <w:left w:val="nil"/>
              <w:bottom w:val="single" w:sz="8" w:space="0" w:color="95B3D7"/>
              <w:right w:val="nil"/>
            </w:tcBorders>
            <w:shd w:val="clear" w:color="000000" w:fill="DBE5F1"/>
            <w:vAlign w:val="center"/>
            <w:hideMark/>
          </w:tcPr>
          <w:p w:rsidR="00463C82" w:rsidRPr="005C50F3" w:rsidRDefault="006D50BF" w:rsidP="00463C82">
            <w:pPr>
              <w:spacing w:after="0" w:line="240" w:lineRule="auto"/>
              <w:jc w:val="center"/>
              <w:rPr>
                <w:rFonts w:ascii="Georgia" w:eastAsia="Times New Roman" w:hAnsi="Georgia" w:cs="Calibri"/>
                <w:b/>
                <w:bCs/>
                <w:color w:val="1F497D"/>
                <w:sz w:val="19"/>
                <w:szCs w:val="19"/>
              </w:rPr>
            </w:pPr>
            <w:r>
              <w:rPr>
                <w:rFonts w:ascii="Georgia" w:eastAsia="Times New Roman" w:hAnsi="Georgia" w:cs="Calibri"/>
                <w:b/>
                <w:bCs/>
                <w:color w:val="1F497D"/>
                <w:sz w:val="19"/>
                <w:szCs w:val="19"/>
              </w:rPr>
              <w:t>Прирост</w:t>
            </w:r>
            <w:r w:rsidRPr="006D50BF">
              <w:rPr>
                <w:rFonts w:ascii="Georgia" w:eastAsia="Times New Roman" w:hAnsi="Georgia" w:cs="Calibri"/>
                <w:b/>
                <w:bCs/>
                <w:color w:val="1F497D"/>
                <w:sz w:val="19"/>
                <w:szCs w:val="19"/>
              </w:rPr>
              <w:t xml:space="preserve"> </w:t>
            </w:r>
            <w:r w:rsidR="00463C82" w:rsidRPr="005C50F3">
              <w:rPr>
                <w:rFonts w:ascii="Georgia" w:eastAsia="Times New Roman" w:hAnsi="Georgia" w:cs="Calibri"/>
                <w:b/>
                <w:bCs/>
                <w:color w:val="1F497D"/>
                <w:sz w:val="19"/>
                <w:szCs w:val="19"/>
              </w:rPr>
              <w:t xml:space="preserve">(+)/снижение (-) </w:t>
            </w:r>
            <w:r w:rsidR="00463C82" w:rsidRPr="005C50F3">
              <w:rPr>
                <w:rFonts w:ascii="Georgia" w:eastAsia="Times New Roman" w:hAnsi="Georgia" w:cs="Calibri"/>
                <w:b/>
                <w:bCs/>
                <w:color w:val="1F497D"/>
                <w:sz w:val="19"/>
                <w:szCs w:val="19"/>
              </w:rPr>
              <w:br/>
              <w:t>за отчетный период</w:t>
            </w:r>
          </w:p>
        </w:tc>
        <w:tc>
          <w:tcPr>
            <w:tcW w:w="1134" w:type="dxa"/>
            <w:tcBorders>
              <w:top w:val="nil"/>
              <w:left w:val="nil"/>
              <w:bottom w:val="single" w:sz="8" w:space="0" w:color="95B3D7"/>
              <w:right w:val="nil"/>
            </w:tcBorders>
            <w:shd w:val="clear" w:color="000000" w:fill="DBE5F1"/>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Данные на отчетную дату</w:t>
            </w:r>
          </w:p>
        </w:tc>
      </w:tr>
      <w:tr w:rsidR="00463C82" w:rsidRPr="005C50F3" w:rsidTr="006D50BF">
        <w:trPr>
          <w:trHeight w:val="60"/>
        </w:trPr>
        <w:tc>
          <w:tcPr>
            <w:tcW w:w="764" w:type="dxa"/>
            <w:tcBorders>
              <w:top w:val="nil"/>
              <w:left w:val="nil"/>
              <w:bottom w:val="single" w:sz="8" w:space="0" w:color="95B3D7"/>
              <w:right w:val="nil"/>
            </w:tcBorders>
            <w:shd w:val="clear" w:color="auto" w:fill="auto"/>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1</w:t>
            </w:r>
          </w:p>
        </w:tc>
        <w:tc>
          <w:tcPr>
            <w:tcW w:w="3517" w:type="dxa"/>
            <w:tcBorders>
              <w:top w:val="nil"/>
              <w:left w:val="nil"/>
              <w:bottom w:val="single" w:sz="8" w:space="0" w:color="95B3D7"/>
              <w:right w:val="nil"/>
            </w:tcBorders>
            <w:shd w:val="clear" w:color="auto" w:fill="auto"/>
            <w:vAlign w:val="center"/>
            <w:hideMark/>
          </w:tcPr>
          <w:p w:rsidR="00463C82" w:rsidRPr="005C50F3" w:rsidRDefault="00463C82"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2</w:t>
            </w:r>
          </w:p>
        </w:tc>
        <w:tc>
          <w:tcPr>
            <w:tcW w:w="1134" w:type="dxa"/>
            <w:tcBorders>
              <w:top w:val="nil"/>
              <w:left w:val="nil"/>
              <w:bottom w:val="single" w:sz="8" w:space="0" w:color="95B3D7"/>
              <w:right w:val="nil"/>
            </w:tcBorders>
            <w:shd w:val="clear" w:color="auto" w:fill="auto"/>
            <w:vAlign w:val="center"/>
            <w:hideMark/>
          </w:tcPr>
          <w:p w:rsidR="00463C82" w:rsidRPr="005C50F3" w:rsidRDefault="00386924"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3</w:t>
            </w:r>
          </w:p>
        </w:tc>
        <w:tc>
          <w:tcPr>
            <w:tcW w:w="1815" w:type="dxa"/>
            <w:tcBorders>
              <w:top w:val="nil"/>
              <w:left w:val="nil"/>
              <w:bottom w:val="single" w:sz="8" w:space="0" w:color="95B3D7"/>
              <w:right w:val="nil"/>
            </w:tcBorders>
            <w:shd w:val="clear" w:color="auto" w:fill="auto"/>
            <w:vAlign w:val="center"/>
            <w:hideMark/>
          </w:tcPr>
          <w:p w:rsidR="00463C82" w:rsidRPr="005C50F3" w:rsidRDefault="00386924"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4</w:t>
            </w:r>
          </w:p>
        </w:tc>
        <w:tc>
          <w:tcPr>
            <w:tcW w:w="1134" w:type="dxa"/>
            <w:tcBorders>
              <w:top w:val="nil"/>
              <w:left w:val="nil"/>
              <w:bottom w:val="single" w:sz="8" w:space="0" w:color="95B3D7"/>
              <w:right w:val="nil"/>
            </w:tcBorders>
            <w:shd w:val="clear" w:color="auto" w:fill="auto"/>
            <w:vAlign w:val="center"/>
            <w:hideMark/>
          </w:tcPr>
          <w:p w:rsidR="00463C82" w:rsidRPr="005C50F3" w:rsidRDefault="00386924" w:rsidP="00463C82">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5</w:t>
            </w:r>
          </w:p>
        </w:tc>
      </w:tr>
      <w:tr w:rsidR="005C50F3" w:rsidRPr="005C50F3" w:rsidTr="006D50BF">
        <w:trPr>
          <w:trHeight w:val="60"/>
        </w:trPr>
        <w:tc>
          <w:tcPr>
            <w:tcW w:w="764" w:type="dxa"/>
            <w:tcBorders>
              <w:top w:val="nil"/>
              <w:left w:val="nil"/>
              <w:bottom w:val="single" w:sz="8" w:space="0" w:color="95B3D7"/>
              <w:right w:val="nil"/>
            </w:tcBorders>
            <w:shd w:val="clear" w:color="auto" w:fill="auto"/>
            <w:vAlign w:val="center"/>
            <w:hideMark/>
          </w:tcPr>
          <w:p w:rsidR="005C50F3" w:rsidRPr="005C50F3" w:rsidRDefault="005C50F3" w:rsidP="009B06DE">
            <w:pPr>
              <w:spacing w:after="0" w:line="240" w:lineRule="auto"/>
              <w:jc w:val="center"/>
              <w:rPr>
                <w:rFonts w:ascii="Georgia" w:eastAsia="Times New Roman" w:hAnsi="Georgia" w:cs="Calibri"/>
                <w:color w:val="1F497D"/>
                <w:sz w:val="19"/>
                <w:szCs w:val="19"/>
              </w:rPr>
            </w:pPr>
            <w:r w:rsidRPr="005C50F3">
              <w:rPr>
                <w:rFonts w:ascii="Georgia" w:eastAsia="Times New Roman" w:hAnsi="Georgia" w:cs="Calibri"/>
                <w:color w:val="1F497D"/>
                <w:sz w:val="19"/>
                <w:szCs w:val="19"/>
              </w:rPr>
              <w:t>1</w:t>
            </w:r>
          </w:p>
        </w:tc>
        <w:tc>
          <w:tcPr>
            <w:tcW w:w="3517"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rPr>
                <w:rFonts w:ascii="Georgia" w:eastAsia="Times New Roman" w:hAnsi="Georgia" w:cs="Calibri"/>
                <w:color w:val="1F497D"/>
                <w:sz w:val="19"/>
                <w:szCs w:val="19"/>
              </w:rPr>
            </w:pPr>
            <w:r w:rsidRPr="005C50F3">
              <w:rPr>
                <w:rFonts w:ascii="Georgia" w:eastAsia="Times New Roman" w:hAnsi="Georgia" w:cs="Calibri"/>
                <w:color w:val="1F497D"/>
                <w:sz w:val="19"/>
                <w:szCs w:val="19"/>
              </w:rPr>
              <w:t>Фактически сформированные резервы на возможные потери, всего,</w:t>
            </w:r>
            <w:r w:rsidRPr="005C50F3">
              <w:rPr>
                <w:rFonts w:ascii="Georgia" w:eastAsia="Times New Roman" w:hAnsi="Georgia" w:cs="Calibri"/>
                <w:color w:val="1F497D"/>
                <w:sz w:val="19"/>
                <w:szCs w:val="19"/>
              </w:rPr>
              <w:br/>
              <w:t xml:space="preserve">в том числе: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2 381 621   </w:t>
            </w:r>
          </w:p>
        </w:tc>
        <w:tc>
          <w:tcPr>
            <w:tcW w:w="1815"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1 082 932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1 298 689   </w:t>
            </w:r>
          </w:p>
        </w:tc>
      </w:tr>
      <w:tr w:rsidR="005C50F3" w:rsidRPr="005C50F3" w:rsidTr="006D50BF">
        <w:trPr>
          <w:trHeight w:val="60"/>
        </w:trPr>
        <w:tc>
          <w:tcPr>
            <w:tcW w:w="764"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jc w:val="center"/>
              <w:rPr>
                <w:rFonts w:ascii="Georgia" w:eastAsia="Times New Roman" w:hAnsi="Georgia" w:cs="Calibri"/>
                <w:color w:val="1F497D"/>
                <w:sz w:val="19"/>
                <w:szCs w:val="19"/>
              </w:rPr>
            </w:pPr>
            <w:r w:rsidRPr="005C50F3">
              <w:rPr>
                <w:rFonts w:ascii="Georgia" w:eastAsia="Times New Roman" w:hAnsi="Georgia" w:cs="Calibri"/>
                <w:color w:val="1F497D"/>
                <w:sz w:val="19"/>
                <w:szCs w:val="19"/>
              </w:rPr>
              <w:t>1.1</w:t>
            </w:r>
          </w:p>
        </w:tc>
        <w:tc>
          <w:tcPr>
            <w:tcW w:w="3517"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по ссудам, ссудной и приравненной к ней задолженности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2 184 613   </w:t>
            </w:r>
          </w:p>
        </w:tc>
        <w:tc>
          <w:tcPr>
            <w:tcW w:w="1815"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1 029 055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1 155 558   </w:t>
            </w:r>
          </w:p>
        </w:tc>
      </w:tr>
      <w:tr w:rsidR="005C50F3" w:rsidRPr="005C50F3" w:rsidTr="006D50BF">
        <w:trPr>
          <w:trHeight w:val="300"/>
        </w:trPr>
        <w:tc>
          <w:tcPr>
            <w:tcW w:w="764" w:type="dxa"/>
            <w:tcBorders>
              <w:top w:val="nil"/>
              <w:left w:val="nil"/>
              <w:bottom w:val="single" w:sz="8" w:space="0" w:color="95B3D7"/>
              <w:right w:val="nil"/>
            </w:tcBorders>
            <w:shd w:val="clear" w:color="auto" w:fill="auto"/>
            <w:vAlign w:val="center"/>
            <w:hideMark/>
          </w:tcPr>
          <w:p w:rsidR="005C50F3" w:rsidRPr="005C50F3" w:rsidRDefault="005C50F3" w:rsidP="009B06DE">
            <w:pPr>
              <w:spacing w:after="0" w:line="240" w:lineRule="auto"/>
              <w:jc w:val="center"/>
              <w:rPr>
                <w:rFonts w:ascii="Georgia" w:eastAsia="Times New Roman" w:hAnsi="Georgia" w:cs="Calibri"/>
                <w:color w:val="1F497D"/>
                <w:sz w:val="19"/>
                <w:szCs w:val="19"/>
              </w:rPr>
            </w:pPr>
            <w:r w:rsidRPr="005C50F3">
              <w:rPr>
                <w:rFonts w:ascii="Georgia" w:eastAsia="Times New Roman" w:hAnsi="Georgia" w:cs="Calibri"/>
                <w:color w:val="1F497D"/>
                <w:sz w:val="19"/>
                <w:szCs w:val="19"/>
              </w:rPr>
              <w:t>1.2</w:t>
            </w:r>
          </w:p>
        </w:tc>
        <w:tc>
          <w:tcPr>
            <w:tcW w:w="3517"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по иным балансовым активам, по которым существует риск понесения потерь, и прочим потерям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165 756   </w:t>
            </w:r>
          </w:p>
        </w:tc>
        <w:tc>
          <w:tcPr>
            <w:tcW w:w="1815"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41 329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124 427   </w:t>
            </w:r>
          </w:p>
        </w:tc>
      </w:tr>
      <w:tr w:rsidR="005C50F3" w:rsidRPr="005C50F3" w:rsidTr="006D50BF">
        <w:trPr>
          <w:trHeight w:val="300"/>
        </w:trPr>
        <w:tc>
          <w:tcPr>
            <w:tcW w:w="764" w:type="dxa"/>
            <w:tcBorders>
              <w:top w:val="nil"/>
              <w:left w:val="nil"/>
              <w:bottom w:val="single" w:sz="8" w:space="0" w:color="95B3D7"/>
              <w:right w:val="nil"/>
            </w:tcBorders>
            <w:shd w:val="clear" w:color="auto" w:fill="auto"/>
            <w:vAlign w:val="center"/>
            <w:hideMark/>
          </w:tcPr>
          <w:p w:rsidR="005C50F3" w:rsidRPr="005C50F3" w:rsidRDefault="005C50F3" w:rsidP="009B06DE">
            <w:pPr>
              <w:spacing w:after="0" w:line="240" w:lineRule="auto"/>
              <w:jc w:val="center"/>
              <w:rPr>
                <w:rFonts w:ascii="Georgia" w:eastAsia="Times New Roman" w:hAnsi="Georgia" w:cs="Calibri"/>
                <w:color w:val="1F497D"/>
                <w:sz w:val="19"/>
                <w:szCs w:val="19"/>
              </w:rPr>
            </w:pPr>
            <w:r w:rsidRPr="005C50F3">
              <w:rPr>
                <w:rFonts w:ascii="Georgia" w:eastAsia="Times New Roman" w:hAnsi="Georgia" w:cs="Calibri"/>
                <w:color w:val="1F497D"/>
                <w:sz w:val="19"/>
                <w:szCs w:val="19"/>
              </w:rPr>
              <w:t>1.3</w:t>
            </w:r>
          </w:p>
        </w:tc>
        <w:tc>
          <w:tcPr>
            <w:tcW w:w="3517"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по условным обязательствам кредитного характера и ценным бумагам, права на которые удостоверяются депозитариями, не удовлетворяющим критериям Банка России, отраженным на внебалансовых счетах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31 252   </w:t>
            </w:r>
          </w:p>
        </w:tc>
        <w:tc>
          <w:tcPr>
            <w:tcW w:w="1815"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12 548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18 704   </w:t>
            </w:r>
          </w:p>
        </w:tc>
      </w:tr>
      <w:tr w:rsidR="005C50F3" w:rsidRPr="005C50F3" w:rsidTr="006D50BF">
        <w:trPr>
          <w:trHeight w:val="60"/>
        </w:trPr>
        <w:tc>
          <w:tcPr>
            <w:tcW w:w="764" w:type="dxa"/>
            <w:tcBorders>
              <w:top w:val="nil"/>
              <w:left w:val="nil"/>
              <w:bottom w:val="single" w:sz="8" w:space="0" w:color="95B3D7"/>
              <w:right w:val="nil"/>
            </w:tcBorders>
            <w:shd w:val="clear" w:color="auto" w:fill="auto"/>
            <w:vAlign w:val="center"/>
            <w:hideMark/>
          </w:tcPr>
          <w:p w:rsidR="005C50F3" w:rsidRPr="005C50F3" w:rsidRDefault="005C50F3" w:rsidP="009B06DE">
            <w:pPr>
              <w:spacing w:after="0" w:line="240" w:lineRule="auto"/>
              <w:jc w:val="center"/>
              <w:rPr>
                <w:rFonts w:ascii="Georgia" w:eastAsia="Times New Roman" w:hAnsi="Georgia" w:cs="Calibri"/>
                <w:color w:val="1F497D"/>
                <w:sz w:val="19"/>
                <w:szCs w:val="19"/>
              </w:rPr>
            </w:pPr>
            <w:r w:rsidRPr="005C50F3">
              <w:rPr>
                <w:rFonts w:ascii="Georgia" w:eastAsia="Times New Roman" w:hAnsi="Georgia" w:cs="Calibri"/>
                <w:color w:val="1F497D"/>
                <w:sz w:val="19"/>
                <w:szCs w:val="19"/>
              </w:rPr>
              <w:t>1.4</w:t>
            </w:r>
          </w:p>
        </w:tc>
        <w:tc>
          <w:tcPr>
            <w:tcW w:w="3517" w:type="dxa"/>
            <w:tcBorders>
              <w:top w:val="nil"/>
              <w:left w:val="nil"/>
              <w:bottom w:val="single" w:sz="8" w:space="0" w:color="95B3D7"/>
              <w:right w:val="nil"/>
            </w:tcBorders>
            <w:shd w:val="clear" w:color="auto" w:fill="auto"/>
            <w:vAlign w:val="center"/>
            <w:hideMark/>
          </w:tcPr>
          <w:p w:rsidR="005C50F3" w:rsidRPr="005C50F3" w:rsidRDefault="005C50F3" w:rsidP="00463C82">
            <w:pPr>
              <w:spacing w:after="0" w:line="240" w:lineRule="auto"/>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под операции с резидентами офшорных зон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     </w:t>
            </w:r>
          </w:p>
        </w:tc>
        <w:tc>
          <w:tcPr>
            <w:tcW w:w="1815"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     </w:t>
            </w:r>
          </w:p>
        </w:tc>
        <w:tc>
          <w:tcPr>
            <w:tcW w:w="1134"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right"/>
              <w:rPr>
                <w:rFonts w:ascii="Georgia" w:eastAsia="Times New Roman" w:hAnsi="Georgia" w:cs="Calibri"/>
                <w:color w:val="1F497D"/>
                <w:sz w:val="19"/>
                <w:szCs w:val="19"/>
              </w:rPr>
            </w:pPr>
            <w:r w:rsidRPr="005C50F3">
              <w:rPr>
                <w:rFonts w:ascii="Georgia" w:eastAsia="Times New Roman" w:hAnsi="Georgia" w:cs="Calibri"/>
                <w:color w:val="1F497D"/>
                <w:sz w:val="19"/>
                <w:szCs w:val="19"/>
              </w:rPr>
              <w:t xml:space="preserve">                     -     </w:t>
            </w:r>
          </w:p>
        </w:tc>
      </w:tr>
    </w:tbl>
    <w:p w:rsidR="009B06DE" w:rsidRPr="00EE317B" w:rsidRDefault="00463C82" w:rsidP="009B06DE">
      <w:pPr>
        <w:rPr>
          <w:rFonts w:ascii="Georgia" w:hAnsi="Georgia"/>
          <w:b/>
          <w:i/>
          <w:color w:val="365F91" w:themeColor="accent1" w:themeShade="BF"/>
          <w:sz w:val="28"/>
          <w:szCs w:val="24"/>
          <w:highlight w:val="yellow"/>
        </w:rPr>
      </w:pPr>
      <w:r w:rsidRPr="00EE317B">
        <w:rPr>
          <w:rFonts w:ascii="Georgia" w:hAnsi="Georgia"/>
          <w:b/>
          <w:i/>
          <w:color w:val="365F91" w:themeColor="accent1" w:themeShade="BF"/>
          <w:sz w:val="28"/>
          <w:szCs w:val="24"/>
          <w:highlight w:val="yellow"/>
        </w:rPr>
        <w:br w:type="page"/>
      </w:r>
    </w:p>
    <w:p w:rsidR="009B06DE" w:rsidRPr="003A49E4" w:rsidRDefault="009B06DE" w:rsidP="003A49E4">
      <w:pPr>
        <w:spacing w:after="0" w:line="240" w:lineRule="auto"/>
        <w:rPr>
          <w:rFonts w:ascii="Georgia" w:hAnsi="Georgia"/>
          <w:b/>
          <w:i/>
          <w:color w:val="365F91" w:themeColor="accent1" w:themeShade="BF"/>
          <w:sz w:val="20"/>
          <w:szCs w:val="20"/>
          <w:highlight w:val="yellow"/>
          <w:lang w:val="en-US"/>
        </w:rPr>
      </w:pPr>
    </w:p>
    <w:p w:rsidR="009C6393" w:rsidRPr="009C6393" w:rsidRDefault="009C6393" w:rsidP="003A49E4">
      <w:pPr>
        <w:spacing w:after="0" w:line="240" w:lineRule="auto"/>
        <w:rPr>
          <w:rFonts w:ascii="Georgia" w:hAnsi="Georgia"/>
          <w:b/>
          <w:i/>
          <w:color w:val="365F91" w:themeColor="accent1" w:themeShade="BF"/>
          <w:sz w:val="24"/>
          <w:szCs w:val="24"/>
          <w:highlight w:val="yellow"/>
        </w:rPr>
      </w:pPr>
      <w:r w:rsidRPr="009C6393">
        <w:rPr>
          <w:rFonts w:ascii="Georgia" w:hAnsi="Georgia"/>
          <w:b/>
          <w:i/>
          <w:color w:val="365F91" w:themeColor="accent1" w:themeShade="BF"/>
          <w:sz w:val="24"/>
          <w:szCs w:val="24"/>
        </w:rPr>
        <w:t>Раздел 4. Информация о показателе финансового рычага</w:t>
      </w:r>
      <w:r w:rsidR="00506DD4">
        <w:rPr>
          <w:rFonts w:ascii="Georgia" w:hAnsi="Georgia"/>
          <w:b/>
          <w:i/>
          <w:color w:val="365F91" w:themeColor="accent1" w:themeShade="BF"/>
          <w:sz w:val="24"/>
          <w:szCs w:val="24"/>
        </w:rPr>
        <w:t xml:space="preserve"> </w:t>
      </w:r>
    </w:p>
    <w:tbl>
      <w:tblPr>
        <w:tblW w:w="8527" w:type="dxa"/>
        <w:tblInd w:w="108" w:type="dxa"/>
        <w:tblLayout w:type="fixed"/>
        <w:tblLook w:val="04A0" w:firstRow="1" w:lastRow="0" w:firstColumn="1" w:lastColumn="0" w:noHBand="0" w:noVBand="1"/>
      </w:tblPr>
      <w:tblGrid>
        <w:gridCol w:w="941"/>
        <w:gridCol w:w="2461"/>
        <w:gridCol w:w="1209"/>
        <w:gridCol w:w="1343"/>
        <w:gridCol w:w="1276"/>
        <w:gridCol w:w="1297"/>
      </w:tblGrid>
      <w:tr w:rsidR="00282D20" w:rsidRPr="005C50F3" w:rsidTr="00282D20">
        <w:trPr>
          <w:trHeight w:val="1375"/>
        </w:trPr>
        <w:tc>
          <w:tcPr>
            <w:tcW w:w="941" w:type="dxa"/>
            <w:tcBorders>
              <w:top w:val="nil"/>
              <w:left w:val="nil"/>
              <w:bottom w:val="single" w:sz="8" w:space="0" w:color="95B3D7"/>
              <w:right w:val="nil"/>
            </w:tcBorders>
            <w:shd w:val="clear" w:color="000000" w:fill="DCE6F1"/>
            <w:vAlign w:val="center"/>
            <w:hideMark/>
          </w:tcPr>
          <w:p w:rsidR="005C50F3" w:rsidRPr="005C50F3" w:rsidRDefault="005C50F3" w:rsidP="005C50F3">
            <w:pPr>
              <w:spacing w:after="0" w:line="240" w:lineRule="auto"/>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 xml:space="preserve">Номер </w:t>
            </w:r>
            <w:r w:rsidRPr="005C50F3">
              <w:rPr>
                <w:rFonts w:ascii="Georgia" w:eastAsia="Times New Roman" w:hAnsi="Georgia" w:cs="Calibri"/>
                <w:b/>
                <w:bCs/>
                <w:color w:val="1F497D"/>
                <w:sz w:val="18"/>
                <w:szCs w:val="18"/>
              </w:rPr>
              <w:br/>
              <w:t>строки</w:t>
            </w:r>
          </w:p>
        </w:tc>
        <w:tc>
          <w:tcPr>
            <w:tcW w:w="2461" w:type="dxa"/>
            <w:tcBorders>
              <w:top w:val="nil"/>
              <w:left w:val="nil"/>
              <w:bottom w:val="single" w:sz="8" w:space="0" w:color="95B3D7"/>
              <w:right w:val="nil"/>
            </w:tcBorders>
            <w:shd w:val="clear" w:color="000000" w:fill="DCE6F1"/>
            <w:vAlign w:val="center"/>
            <w:hideMark/>
          </w:tcPr>
          <w:p w:rsidR="005C50F3" w:rsidRPr="005C50F3" w:rsidRDefault="005C50F3" w:rsidP="005C50F3">
            <w:pPr>
              <w:spacing w:after="0" w:line="240" w:lineRule="auto"/>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Наименование показателя</w:t>
            </w:r>
          </w:p>
        </w:tc>
        <w:tc>
          <w:tcPr>
            <w:tcW w:w="1209" w:type="dxa"/>
            <w:tcBorders>
              <w:top w:val="nil"/>
              <w:left w:val="nil"/>
              <w:bottom w:val="single" w:sz="8" w:space="0" w:color="95B3D7"/>
              <w:right w:val="nil"/>
            </w:tcBorders>
            <w:shd w:val="clear" w:color="000000" w:fill="DCE6F1"/>
            <w:vAlign w:val="center"/>
            <w:hideMark/>
          </w:tcPr>
          <w:p w:rsidR="005C50F3" w:rsidRPr="005C50F3" w:rsidRDefault="005C50F3" w:rsidP="005C50F3">
            <w:pPr>
              <w:spacing w:after="0" w:line="240" w:lineRule="auto"/>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Значение на  отчетную дату 01.01.2016</w:t>
            </w:r>
          </w:p>
        </w:tc>
        <w:tc>
          <w:tcPr>
            <w:tcW w:w="1343" w:type="dxa"/>
            <w:tcBorders>
              <w:top w:val="nil"/>
              <w:left w:val="nil"/>
              <w:bottom w:val="single" w:sz="8" w:space="0" w:color="95B3D7"/>
              <w:right w:val="nil"/>
            </w:tcBorders>
            <w:shd w:val="clear" w:color="000000" w:fill="DCE6F1"/>
            <w:vAlign w:val="center"/>
            <w:hideMark/>
          </w:tcPr>
          <w:p w:rsidR="005C50F3" w:rsidRPr="005C50F3" w:rsidRDefault="005C50F3" w:rsidP="005C50F3">
            <w:pPr>
              <w:spacing w:after="0" w:line="240" w:lineRule="auto"/>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Значение на  отчетную дату 01.10.2015</w:t>
            </w:r>
          </w:p>
        </w:tc>
        <w:tc>
          <w:tcPr>
            <w:tcW w:w="1276" w:type="dxa"/>
            <w:tcBorders>
              <w:top w:val="nil"/>
              <w:left w:val="nil"/>
              <w:bottom w:val="single" w:sz="8" w:space="0" w:color="95B3D7"/>
              <w:right w:val="nil"/>
            </w:tcBorders>
            <w:shd w:val="clear" w:color="000000" w:fill="DCE6F1"/>
            <w:vAlign w:val="center"/>
            <w:hideMark/>
          </w:tcPr>
          <w:p w:rsidR="005C50F3" w:rsidRPr="005C50F3" w:rsidRDefault="005C50F3" w:rsidP="005C50F3">
            <w:pPr>
              <w:spacing w:after="0" w:line="240" w:lineRule="auto"/>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Значение на  отчетную дату 01.07.2015</w:t>
            </w:r>
          </w:p>
        </w:tc>
        <w:tc>
          <w:tcPr>
            <w:tcW w:w="1297" w:type="dxa"/>
            <w:tcBorders>
              <w:top w:val="nil"/>
              <w:left w:val="nil"/>
              <w:bottom w:val="single" w:sz="8" w:space="0" w:color="95B3D7"/>
              <w:right w:val="nil"/>
            </w:tcBorders>
            <w:shd w:val="clear" w:color="000000" w:fill="DCE6F1"/>
            <w:vAlign w:val="center"/>
            <w:hideMark/>
          </w:tcPr>
          <w:p w:rsidR="005C50F3" w:rsidRPr="005C50F3" w:rsidRDefault="005C50F3" w:rsidP="00282D20">
            <w:pPr>
              <w:spacing w:after="0" w:line="240" w:lineRule="auto"/>
              <w:ind w:left="-108" w:firstLine="108"/>
              <w:jc w:val="center"/>
              <w:rPr>
                <w:rFonts w:ascii="Georgia" w:eastAsia="Times New Roman" w:hAnsi="Georgia" w:cs="Calibri"/>
                <w:b/>
                <w:bCs/>
                <w:color w:val="1F497D"/>
                <w:sz w:val="18"/>
                <w:szCs w:val="18"/>
              </w:rPr>
            </w:pPr>
            <w:r w:rsidRPr="005C50F3">
              <w:rPr>
                <w:rFonts w:ascii="Georgia" w:eastAsia="Times New Roman" w:hAnsi="Georgia" w:cs="Calibri"/>
                <w:b/>
                <w:bCs/>
                <w:color w:val="1F497D"/>
                <w:sz w:val="18"/>
                <w:szCs w:val="18"/>
              </w:rPr>
              <w:t>Значение на  отчетную дату 01.04.2015</w:t>
            </w:r>
          </w:p>
        </w:tc>
      </w:tr>
      <w:tr w:rsidR="00282D20" w:rsidRPr="005C50F3" w:rsidTr="00282D20">
        <w:trPr>
          <w:trHeight w:val="321"/>
        </w:trPr>
        <w:tc>
          <w:tcPr>
            <w:tcW w:w="941" w:type="dxa"/>
            <w:tcBorders>
              <w:top w:val="nil"/>
              <w:left w:val="nil"/>
              <w:bottom w:val="single" w:sz="8" w:space="0" w:color="95B3D7"/>
              <w:right w:val="nil"/>
            </w:tcBorders>
            <w:shd w:val="clear" w:color="auto" w:fill="auto"/>
            <w:vAlign w:val="center"/>
            <w:hideMark/>
          </w:tcPr>
          <w:p w:rsidR="005C50F3" w:rsidRPr="005C50F3" w:rsidRDefault="005C50F3" w:rsidP="00282D20">
            <w:pPr>
              <w:spacing w:after="0" w:line="240" w:lineRule="auto"/>
              <w:jc w:val="center"/>
              <w:rPr>
                <w:rFonts w:ascii="Georgia" w:eastAsia="Times New Roman" w:hAnsi="Georgia" w:cs="Calibri"/>
                <w:b/>
                <w:bCs/>
                <w:color w:val="1F497D"/>
                <w:sz w:val="19"/>
                <w:szCs w:val="19"/>
              </w:rPr>
            </w:pPr>
            <w:r w:rsidRPr="005C50F3">
              <w:rPr>
                <w:rFonts w:ascii="Georgia" w:eastAsia="Times New Roman" w:hAnsi="Georgia" w:cs="Calibri"/>
                <w:b/>
                <w:bCs/>
                <w:color w:val="1F497D"/>
                <w:sz w:val="19"/>
                <w:szCs w:val="19"/>
              </w:rPr>
              <w:t>1</w:t>
            </w:r>
          </w:p>
        </w:tc>
        <w:tc>
          <w:tcPr>
            <w:tcW w:w="2461" w:type="dxa"/>
            <w:tcBorders>
              <w:top w:val="nil"/>
              <w:left w:val="nil"/>
              <w:bottom w:val="single" w:sz="8" w:space="0" w:color="95B3D7"/>
              <w:right w:val="nil"/>
            </w:tcBorders>
            <w:shd w:val="clear" w:color="auto" w:fill="auto"/>
            <w:vAlign w:val="center"/>
            <w:hideMark/>
          </w:tcPr>
          <w:p w:rsidR="005C50F3" w:rsidRPr="005C50F3" w:rsidRDefault="00282D20" w:rsidP="00282D20">
            <w:pPr>
              <w:spacing w:after="0" w:line="240" w:lineRule="auto"/>
              <w:jc w:val="center"/>
              <w:rPr>
                <w:rFonts w:ascii="Georgia" w:eastAsia="Times New Roman" w:hAnsi="Georgia" w:cs="Calibri"/>
                <w:b/>
                <w:bCs/>
                <w:color w:val="1F497D"/>
                <w:sz w:val="19"/>
                <w:szCs w:val="19"/>
              </w:rPr>
            </w:pPr>
            <w:r>
              <w:rPr>
                <w:rFonts w:ascii="Georgia" w:eastAsia="Times New Roman" w:hAnsi="Georgia" w:cs="Calibri"/>
                <w:b/>
                <w:bCs/>
                <w:color w:val="1F497D"/>
                <w:sz w:val="19"/>
                <w:szCs w:val="19"/>
              </w:rPr>
              <w:t>2</w:t>
            </w:r>
          </w:p>
        </w:tc>
        <w:tc>
          <w:tcPr>
            <w:tcW w:w="1209" w:type="dxa"/>
            <w:tcBorders>
              <w:top w:val="nil"/>
              <w:left w:val="nil"/>
              <w:bottom w:val="single" w:sz="8" w:space="0" w:color="95B3D7"/>
              <w:right w:val="nil"/>
            </w:tcBorders>
            <w:shd w:val="clear" w:color="auto" w:fill="auto"/>
            <w:vAlign w:val="center"/>
            <w:hideMark/>
          </w:tcPr>
          <w:p w:rsidR="005C50F3" w:rsidRPr="005C50F3" w:rsidRDefault="00282D20" w:rsidP="00282D20">
            <w:pPr>
              <w:spacing w:after="0" w:line="240" w:lineRule="auto"/>
              <w:jc w:val="center"/>
              <w:rPr>
                <w:rFonts w:ascii="Georgia" w:eastAsia="Times New Roman" w:hAnsi="Georgia" w:cs="Calibri"/>
                <w:b/>
                <w:bCs/>
                <w:color w:val="1F497D"/>
                <w:sz w:val="19"/>
                <w:szCs w:val="19"/>
              </w:rPr>
            </w:pPr>
            <w:r w:rsidRPr="00282D20">
              <w:rPr>
                <w:rFonts w:ascii="Georgia" w:eastAsia="Times New Roman" w:hAnsi="Georgia" w:cs="Calibri"/>
                <w:b/>
                <w:bCs/>
                <w:color w:val="1F497D"/>
                <w:sz w:val="19"/>
                <w:szCs w:val="19"/>
              </w:rPr>
              <w:t>3</w:t>
            </w:r>
          </w:p>
        </w:tc>
        <w:tc>
          <w:tcPr>
            <w:tcW w:w="1343" w:type="dxa"/>
            <w:tcBorders>
              <w:top w:val="nil"/>
              <w:left w:val="nil"/>
              <w:bottom w:val="single" w:sz="8" w:space="0" w:color="95B3D7"/>
              <w:right w:val="nil"/>
            </w:tcBorders>
            <w:shd w:val="clear" w:color="auto" w:fill="auto"/>
            <w:vAlign w:val="center"/>
            <w:hideMark/>
          </w:tcPr>
          <w:p w:rsidR="005C50F3" w:rsidRPr="005C50F3" w:rsidRDefault="00282D20" w:rsidP="00282D20">
            <w:pPr>
              <w:spacing w:after="0" w:line="240" w:lineRule="auto"/>
              <w:jc w:val="center"/>
              <w:rPr>
                <w:rFonts w:ascii="Georgia" w:eastAsia="Times New Roman" w:hAnsi="Georgia" w:cs="Calibri"/>
                <w:b/>
                <w:bCs/>
                <w:color w:val="1F497D"/>
                <w:sz w:val="19"/>
                <w:szCs w:val="19"/>
              </w:rPr>
            </w:pPr>
            <w:r w:rsidRPr="00282D20">
              <w:rPr>
                <w:rFonts w:ascii="Georgia" w:eastAsia="Times New Roman" w:hAnsi="Georgia" w:cs="Calibri"/>
                <w:b/>
                <w:bCs/>
                <w:color w:val="1F497D"/>
                <w:sz w:val="19"/>
                <w:szCs w:val="19"/>
              </w:rPr>
              <w:t>4</w:t>
            </w:r>
          </w:p>
        </w:tc>
        <w:tc>
          <w:tcPr>
            <w:tcW w:w="1276" w:type="dxa"/>
            <w:tcBorders>
              <w:top w:val="nil"/>
              <w:left w:val="nil"/>
              <w:bottom w:val="single" w:sz="8" w:space="0" w:color="95B3D7"/>
              <w:right w:val="nil"/>
            </w:tcBorders>
            <w:shd w:val="clear" w:color="auto" w:fill="auto"/>
            <w:vAlign w:val="center"/>
            <w:hideMark/>
          </w:tcPr>
          <w:p w:rsidR="005C50F3" w:rsidRPr="005C50F3" w:rsidRDefault="00282D20" w:rsidP="00282D20">
            <w:pPr>
              <w:spacing w:after="0" w:line="240" w:lineRule="auto"/>
              <w:jc w:val="center"/>
              <w:rPr>
                <w:rFonts w:ascii="Georgia" w:eastAsia="Times New Roman" w:hAnsi="Georgia" w:cs="Calibri"/>
                <w:b/>
                <w:bCs/>
                <w:color w:val="1F497D"/>
                <w:sz w:val="19"/>
                <w:szCs w:val="19"/>
              </w:rPr>
            </w:pPr>
            <w:r w:rsidRPr="00282D20">
              <w:rPr>
                <w:rFonts w:ascii="Georgia" w:eastAsia="Times New Roman" w:hAnsi="Georgia" w:cs="Calibri"/>
                <w:b/>
                <w:bCs/>
                <w:color w:val="1F497D"/>
                <w:sz w:val="19"/>
                <w:szCs w:val="19"/>
              </w:rPr>
              <w:t>5</w:t>
            </w:r>
          </w:p>
        </w:tc>
        <w:tc>
          <w:tcPr>
            <w:tcW w:w="1297" w:type="dxa"/>
            <w:tcBorders>
              <w:top w:val="nil"/>
              <w:left w:val="nil"/>
              <w:bottom w:val="single" w:sz="8" w:space="0" w:color="95B3D7"/>
              <w:right w:val="nil"/>
            </w:tcBorders>
            <w:shd w:val="clear" w:color="auto" w:fill="auto"/>
            <w:vAlign w:val="center"/>
            <w:hideMark/>
          </w:tcPr>
          <w:p w:rsidR="005C50F3" w:rsidRPr="005C50F3" w:rsidRDefault="00282D20" w:rsidP="00282D20">
            <w:pPr>
              <w:spacing w:after="0" w:line="240" w:lineRule="auto"/>
              <w:jc w:val="center"/>
              <w:rPr>
                <w:rFonts w:ascii="Georgia" w:eastAsia="Times New Roman" w:hAnsi="Georgia" w:cs="Calibri"/>
                <w:b/>
                <w:bCs/>
                <w:color w:val="1F497D"/>
                <w:sz w:val="19"/>
                <w:szCs w:val="19"/>
              </w:rPr>
            </w:pPr>
            <w:r w:rsidRPr="00282D20">
              <w:rPr>
                <w:rFonts w:ascii="Georgia" w:eastAsia="Times New Roman" w:hAnsi="Georgia" w:cs="Calibri"/>
                <w:b/>
                <w:bCs/>
                <w:color w:val="1F497D"/>
                <w:sz w:val="19"/>
                <w:szCs w:val="19"/>
              </w:rPr>
              <w:t>6</w:t>
            </w:r>
          </w:p>
        </w:tc>
      </w:tr>
      <w:tr w:rsidR="00282D20" w:rsidRPr="005C50F3" w:rsidTr="00233DE1">
        <w:trPr>
          <w:trHeight w:val="321"/>
        </w:trPr>
        <w:tc>
          <w:tcPr>
            <w:tcW w:w="941"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 xml:space="preserve"> 1 </w:t>
            </w:r>
          </w:p>
        </w:tc>
        <w:tc>
          <w:tcPr>
            <w:tcW w:w="2461"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rPr>
                <w:rFonts w:ascii="Georgia" w:eastAsia="Times New Roman" w:hAnsi="Georgia" w:cs="Calibri"/>
                <w:color w:val="1F497D"/>
                <w:sz w:val="18"/>
                <w:szCs w:val="18"/>
              </w:rPr>
            </w:pPr>
            <w:r w:rsidRPr="005C50F3">
              <w:rPr>
                <w:rFonts w:ascii="Georgia" w:eastAsia="Times New Roman" w:hAnsi="Georgia" w:cs="Calibri"/>
                <w:color w:val="1F497D"/>
                <w:sz w:val="18"/>
                <w:szCs w:val="18"/>
              </w:rPr>
              <w:t xml:space="preserve">Основной капитал, тыс. руб. </w:t>
            </w:r>
          </w:p>
        </w:tc>
        <w:tc>
          <w:tcPr>
            <w:tcW w:w="1209"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3 048 140</w:t>
            </w:r>
          </w:p>
        </w:tc>
        <w:tc>
          <w:tcPr>
            <w:tcW w:w="1343"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3 742 721</w:t>
            </w:r>
          </w:p>
        </w:tc>
        <w:tc>
          <w:tcPr>
            <w:tcW w:w="1276"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2 453 524</w:t>
            </w:r>
          </w:p>
        </w:tc>
        <w:tc>
          <w:tcPr>
            <w:tcW w:w="1297"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2 367 725</w:t>
            </w:r>
          </w:p>
        </w:tc>
      </w:tr>
      <w:tr w:rsidR="00282D20" w:rsidRPr="005C50F3" w:rsidTr="00233DE1">
        <w:trPr>
          <w:trHeight w:val="504"/>
        </w:trPr>
        <w:tc>
          <w:tcPr>
            <w:tcW w:w="941"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 xml:space="preserve"> 2 </w:t>
            </w:r>
          </w:p>
        </w:tc>
        <w:tc>
          <w:tcPr>
            <w:tcW w:w="2461" w:type="dxa"/>
            <w:tcBorders>
              <w:top w:val="nil"/>
              <w:left w:val="nil"/>
              <w:bottom w:val="single" w:sz="8" w:space="0" w:color="95B3D7"/>
              <w:right w:val="nil"/>
            </w:tcBorders>
            <w:shd w:val="clear" w:color="auto" w:fill="auto"/>
            <w:vAlign w:val="center"/>
            <w:hideMark/>
          </w:tcPr>
          <w:p w:rsidR="005C50F3" w:rsidRPr="005C50F3" w:rsidRDefault="00E679D1" w:rsidP="005C50F3">
            <w:pPr>
              <w:spacing w:after="0" w:line="240" w:lineRule="auto"/>
              <w:rPr>
                <w:rFonts w:ascii="Georgia" w:eastAsia="Times New Roman" w:hAnsi="Georgia" w:cs="Calibri"/>
                <w:color w:val="1F497D"/>
                <w:sz w:val="18"/>
                <w:szCs w:val="18"/>
              </w:rPr>
            </w:pPr>
            <w:r>
              <w:rPr>
                <w:rFonts w:ascii="Georgia" w:eastAsia="Times New Roman" w:hAnsi="Georgia" w:cs="Calibri"/>
                <w:color w:val="1F497D"/>
                <w:sz w:val="18"/>
                <w:szCs w:val="18"/>
              </w:rPr>
              <w:t xml:space="preserve">Величина балансовых </w:t>
            </w:r>
            <w:r w:rsidR="005C50F3" w:rsidRPr="005C50F3">
              <w:rPr>
                <w:rFonts w:ascii="Georgia" w:eastAsia="Times New Roman" w:hAnsi="Georgia" w:cs="Calibri"/>
                <w:color w:val="1F497D"/>
                <w:sz w:val="18"/>
                <w:szCs w:val="18"/>
              </w:rPr>
              <w:t xml:space="preserve">активов и внебалансовых требований под риском для расчета показателя финансового рычага, тыс. руб. </w:t>
            </w:r>
          </w:p>
        </w:tc>
        <w:tc>
          <w:tcPr>
            <w:tcW w:w="1209"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30 574 654</w:t>
            </w:r>
          </w:p>
        </w:tc>
        <w:tc>
          <w:tcPr>
            <w:tcW w:w="1343"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30 373 155</w:t>
            </w:r>
          </w:p>
        </w:tc>
        <w:tc>
          <w:tcPr>
            <w:tcW w:w="1276"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29 009 632</w:t>
            </w:r>
          </w:p>
        </w:tc>
        <w:tc>
          <w:tcPr>
            <w:tcW w:w="1297"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27 210 479</w:t>
            </w:r>
          </w:p>
        </w:tc>
      </w:tr>
      <w:tr w:rsidR="00282D20" w:rsidRPr="005C50F3" w:rsidTr="00233DE1">
        <w:trPr>
          <w:trHeight w:val="321"/>
        </w:trPr>
        <w:tc>
          <w:tcPr>
            <w:tcW w:w="941"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 xml:space="preserve"> 3 </w:t>
            </w:r>
          </w:p>
        </w:tc>
        <w:tc>
          <w:tcPr>
            <w:tcW w:w="2461" w:type="dxa"/>
            <w:tcBorders>
              <w:top w:val="nil"/>
              <w:left w:val="nil"/>
              <w:bottom w:val="single" w:sz="8" w:space="0" w:color="95B3D7"/>
              <w:right w:val="nil"/>
            </w:tcBorders>
            <w:shd w:val="clear" w:color="auto" w:fill="auto"/>
            <w:vAlign w:val="center"/>
            <w:hideMark/>
          </w:tcPr>
          <w:p w:rsidR="005C50F3" w:rsidRPr="005C50F3" w:rsidRDefault="005C50F3" w:rsidP="005C50F3">
            <w:pPr>
              <w:spacing w:after="0" w:line="240" w:lineRule="auto"/>
              <w:rPr>
                <w:rFonts w:ascii="Georgia" w:eastAsia="Times New Roman" w:hAnsi="Georgia" w:cs="Calibri"/>
                <w:color w:val="1F497D"/>
                <w:sz w:val="18"/>
                <w:szCs w:val="18"/>
              </w:rPr>
            </w:pPr>
            <w:r w:rsidRPr="005C50F3">
              <w:rPr>
                <w:rFonts w:ascii="Georgia" w:eastAsia="Times New Roman" w:hAnsi="Georgia" w:cs="Calibri"/>
                <w:color w:val="1F497D"/>
                <w:sz w:val="18"/>
                <w:szCs w:val="18"/>
              </w:rPr>
              <w:t xml:space="preserve">Показатель финансового рычага по Базелю III, процент </w:t>
            </w:r>
          </w:p>
        </w:tc>
        <w:tc>
          <w:tcPr>
            <w:tcW w:w="1209"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10,0</w:t>
            </w:r>
          </w:p>
        </w:tc>
        <w:tc>
          <w:tcPr>
            <w:tcW w:w="1343"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12,3</w:t>
            </w:r>
          </w:p>
        </w:tc>
        <w:tc>
          <w:tcPr>
            <w:tcW w:w="1276"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8,5</w:t>
            </w:r>
          </w:p>
        </w:tc>
        <w:tc>
          <w:tcPr>
            <w:tcW w:w="1297" w:type="dxa"/>
            <w:tcBorders>
              <w:top w:val="nil"/>
              <w:left w:val="nil"/>
              <w:bottom w:val="single" w:sz="8" w:space="0" w:color="95B3D7"/>
              <w:right w:val="nil"/>
            </w:tcBorders>
            <w:shd w:val="clear" w:color="auto" w:fill="auto"/>
            <w:vAlign w:val="center"/>
            <w:hideMark/>
          </w:tcPr>
          <w:p w:rsidR="005C50F3" w:rsidRPr="005C50F3" w:rsidRDefault="005C50F3" w:rsidP="00233DE1">
            <w:pPr>
              <w:spacing w:after="0" w:line="240" w:lineRule="auto"/>
              <w:jc w:val="center"/>
              <w:rPr>
                <w:rFonts w:ascii="Georgia" w:eastAsia="Times New Roman" w:hAnsi="Georgia" w:cs="Calibri"/>
                <w:color w:val="1F497D"/>
                <w:sz w:val="18"/>
                <w:szCs w:val="18"/>
              </w:rPr>
            </w:pPr>
            <w:r w:rsidRPr="005C50F3">
              <w:rPr>
                <w:rFonts w:ascii="Georgia" w:eastAsia="Times New Roman" w:hAnsi="Georgia" w:cs="Calibri"/>
                <w:color w:val="1F497D"/>
                <w:sz w:val="18"/>
                <w:szCs w:val="18"/>
              </w:rPr>
              <w:t>8,7</w:t>
            </w:r>
          </w:p>
        </w:tc>
      </w:tr>
    </w:tbl>
    <w:p w:rsidR="005C50F3" w:rsidRPr="00EE317B" w:rsidRDefault="005C50F3" w:rsidP="00BE0B80">
      <w:pPr>
        <w:spacing w:after="120" w:line="240" w:lineRule="auto"/>
        <w:rPr>
          <w:rFonts w:ascii="Georgia" w:hAnsi="Georgia"/>
          <w:b/>
          <w:i/>
          <w:color w:val="365F91" w:themeColor="accent1" w:themeShade="BF"/>
          <w:sz w:val="24"/>
          <w:szCs w:val="24"/>
          <w:highlight w:val="yellow"/>
        </w:rPr>
      </w:pPr>
    </w:p>
    <w:p w:rsidR="00282D20" w:rsidRPr="00282D20" w:rsidRDefault="00282D20" w:rsidP="000A1B37">
      <w:pPr>
        <w:spacing w:after="0" w:line="240" w:lineRule="auto"/>
        <w:rPr>
          <w:rFonts w:ascii="Georgia" w:hAnsi="Georgia"/>
          <w:b/>
          <w:i/>
          <w:color w:val="365F91" w:themeColor="accent1" w:themeShade="BF"/>
          <w:szCs w:val="24"/>
        </w:rPr>
      </w:pPr>
    </w:p>
    <w:p w:rsidR="009B06DE" w:rsidRPr="00282D20" w:rsidRDefault="009B06DE" w:rsidP="000A1B37">
      <w:pPr>
        <w:spacing w:after="0" w:line="240" w:lineRule="auto"/>
        <w:rPr>
          <w:rFonts w:ascii="Georgia" w:hAnsi="Georgia"/>
          <w:b/>
          <w:i/>
          <w:color w:val="365F91" w:themeColor="accent1" w:themeShade="BF"/>
          <w:szCs w:val="24"/>
        </w:rPr>
      </w:pPr>
      <w:r w:rsidRPr="00282D20">
        <w:rPr>
          <w:rFonts w:ascii="Georgia" w:hAnsi="Georgia"/>
          <w:b/>
          <w:i/>
          <w:color w:val="365F91" w:themeColor="accent1" w:themeShade="BF"/>
          <w:szCs w:val="24"/>
        </w:rPr>
        <w:t xml:space="preserve">Раздел "Справочно". </w:t>
      </w:r>
    </w:p>
    <w:p w:rsidR="00111258" w:rsidRPr="00282D20" w:rsidRDefault="009B06DE" w:rsidP="000A1B37">
      <w:pPr>
        <w:spacing w:after="0" w:line="240" w:lineRule="auto"/>
        <w:rPr>
          <w:rFonts w:ascii="Georgia" w:hAnsi="Georgia"/>
          <w:b/>
          <w:i/>
          <w:color w:val="365F91" w:themeColor="accent1" w:themeShade="BF"/>
          <w:szCs w:val="24"/>
        </w:rPr>
      </w:pPr>
      <w:r w:rsidRPr="00282D20">
        <w:rPr>
          <w:rFonts w:ascii="Georgia" w:hAnsi="Georgia"/>
          <w:b/>
          <w:i/>
          <w:color w:val="365F91" w:themeColor="accent1" w:themeShade="BF"/>
          <w:szCs w:val="24"/>
        </w:rPr>
        <w:t>Информация о движении резерва на возможные потери по ссудам, ссудной и п</w:t>
      </w:r>
      <w:r w:rsidR="000A1B37" w:rsidRPr="00282D20">
        <w:rPr>
          <w:rFonts w:ascii="Georgia" w:hAnsi="Georgia"/>
          <w:b/>
          <w:i/>
          <w:color w:val="365F91" w:themeColor="accent1" w:themeShade="BF"/>
          <w:szCs w:val="24"/>
        </w:rPr>
        <w:t>риравненной к ней задолженности</w:t>
      </w:r>
    </w:p>
    <w:p w:rsidR="000A1B37" w:rsidRPr="00282D20" w:rsidRDefault="000A1B37" w:rsidP="000A1B37">
      <w:pPr>
        <w:spacing w:after="0" w:line="240" w:lineRule="auto"/>
        <w:rPr>
          <w:rFonts w:ascii="Georgia" w:hAnsi="Georgia"/>
          <w:b/>
          <w:i/>
          <w:color w:val="365F91" w:themeColor="accent1" w:themeShade="BF"/>
          <w:sz w:val="12"/>
          <w:szCs w:val="12"/>
        </w:rPr>
      </w:pPr>
    </w:p>
    <w:tbl>
      <w:tblPr>
        <w:tblW w:w="8242" w:type="dxa"/>
        <w:tblInd w:w="88" w:type="dxa"/>
        <w:tblLook w:val="04A0" w:firstRow="1" w:lastRow="0" w:firstColumn="1" w:lastColumn="0" w:noHBand="0" w:noVBand="1"/>
      </w:tblPr>
      <w:tblGrid>
        <w:gridCol w:w="960"/>
        <w:gridCol w:w="5864"/>
        <w:gridCol w:w="1418"/>
      </w:tblGrid>
      <w:tr w:rsidR="00111258" w:rsidRPr="00282D20" w:rsidTr="00282D20">
        <w:trPr>
          <w:trHeight w:val="525"/>
        </w:trPr>
        <w:tc>
          <w:tcPr>
            <w:tcW w:w="960"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jc w:val="center"/>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 xml:space="preserve">1. </w:t>
            </w:r>
          </w:p>
        </w:tc>
        <w:tc>
          <w:tcPr>
            <w:tcW w:w="5864"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Формирование (доначисление) резерва в отчетном периоде (тыс. руб.)</w:t>
            </w:r>
          </w:p>
        </w:tc>
        <w:tc>
          <w:tcPr>
            <w:tcW w:w="1418"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jc w:val="center"/>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 </w:t>
            </w:r>
          </w:p>
        </w:tc>
      </w:tr>
      <w:tr w:rsidR="00282D20" w:rsidRPr="00282D20"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всего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3 985 597</w:t>
            </w:r>
          </w:p>
        </w:tc>
      </w:tr>
      <w:tr w:rsidR="00282D20" w:rsidRPr="00282D20"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в том числе вследствие: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p>
        </w:tc>
      </w:tr>
      <w:tr w:rsidR="00282D20" w:rsidRPr="00282D20"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1.1.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выдачи ссуд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1 016 402</w:t>
            </w:r>
          </w:p>
        </w:tc>
      </w:tr>
      <w:tr w:rsidR="00282D20" w:rsidRPr="00282D20"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1.2.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изменения качества ссуд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2 969 184</w:t>
            </w:r>
          </w:p>
        </w:tc>
      </w:tr>
      <w:tr w:rsidR="00282D20" w:rsidRPr="00282D20" w:rsidTr="00282D20">
        <w:trPr>
          <w:trHeight w:val="49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1.3.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изменения официального курса иностранной валюты по отношению к рублю, установленного Банком России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11</w:t>
            </w:r>
          </w:p>
        </w:tc>
      </w:tr>
      <w:tr w:rsidR="00282D20" w:rsidRPr="00282D20"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1.4. </w:t>
            </w:r>
          </w:p>
        </w:tc>
        <w:tc>
          <w:tcPr>
            <w:tcW w:w="5864"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иных причин </w:t>
            </w:r>
          </w:p>
        </w:tc>
        <w:tc>
          <w:tcPr>
            <w:tcW w:w="1418"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w:t>
            </w:r>
          </w:p>
        </w:tc>
      </w:tr>
    </w:tbl>
    <w:p w:rsidR="00111258" w:rsidRPr="00EE317B" w:rsidRDefault="00111258" w:rsidP="009B06DE">
      <w:pPr>
        <w:rPr>
          <w:rFonts w:ascii="Georgia" w:hAnsi="Georgia"/>
          <w:b/>
          <w:i/>
          <w:color w:val="365F91" w:themeColor="accent1" w:themeShade="BF"/>
          <w:sz w:val="28"/>
          <w:szCs w:val="24"/>
          <w:highlight w:val="yellow"/>
        </w:rPr>
      </w:pPr>
    </w:p>
    <w:tbl>
      <w:tblPr>
        <w:tblW w:w="8300" w:type="dxa"/>
        <w:tblInd w:w="87" w:type="dxa"/>
        <w:tblLook w:val="04A0" w:firstRow="1" w:lastRow="0" w:firstColumn="1" w:lastColumn="0" w:noHBand="0" w:noVBand="1"/>
      </w:tblPr>
      <w:tblGrid>
        <w:gridCol w:w="960"/>
        <w:gridCol w:w="6040"/>
        <w:gridCol w:w="1300"/>
      </w:tblGrid>
      <w:tr w:rsidR="00111258" w:rsidRPr="00EE317B" w:rsidTr="00111258">
        <w:trPr>
          <w:trHeight w:val="525"/>
        </w:trPr>
        <w:tc>
          <w:tcPr>
            <w:tcW w:w="960"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jc w:val="center"/>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2.</w:t>
            </w:r>
          </w:p>
        </w:tc>
        <w:tc>
          <w:tcPr>
            <w:tcW w:w="6040"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Восстановление (уменьшение) резерва  в отчетном периоде (тыс. руб.)</w:t>
            </w:r>
          </w:p>
        </w:tc>
        <w:tc>
          <w:tcPr>
            <w:tcW w:w="1300" w:type="dxa"/>
            <w:tcBorders>
              <w:top w:val="nil"/>
              <w:left w:val="nil"/>
              <w:bottom w:val="single" w:sz="8" w:space="0" w:color="95B3D7"/>
              <w:right w:val="nil"/>
            </w:tcBorders>
            <w:shd w:val="clear" w:color="000000" w:fill="DBE5F1"/>
            <w:vAlign w:val="center"/>
            <w:hideMark/>
          </w:tcPr>
          <w:p w:rsidR="00111258" w:rsidRPr="00282D20" w:rsidRDefault="00111258" w:rsidP="00111258">
            <w:pPr>
              <w:spacing w:after="0" w:line="240" w:lineRule="auto"/>
              <w:jc w:val="center"/>
              <w:rPr>
                <w:rFonts w:ascii="Georgia" w:eastAsia="Times New Roman" w:hAnsi="Georgia" w:cs="Calibri"/>
                <w:b/>
                <w:bCs/>
                <w:color w:val="1F497D"/>
                <w:sz w:val="20"/>
                <w:szCs w:val="20"/>
              </w:rPr>
            </w:pPr>
            <w:r w:rsidRPr="00282D20">
              <w:rPr>
                <w:rFonts w:ascii="Georgia" w:eastAsia="Times New Roman" w:hAnsi="Georgia" w:cs="Calibri"/>
                <w:b/>
                <w:bCs/>
                <w:color w:val="1F497D"/>
                <w:sz w:val="20"/>
                <w:szCs w:val="20"/>
              </w:rPr>
              <w:t> </w:t>
            </w:r>
          </w:p>
        </w:tc>
      </w:tr>
      <w:tr w:rsidR="00282D20"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всего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2 956 542</w:t>
            </w:r>
          </w:p>
        </w:tc>
      </w:tr>
      <w:tr w:rsidR="00282D20"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в том числе вследствие: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p>
        </w:tc>
      </w:tr>
      <w:tr w:rsidR="00282D20"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2.1.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списания безнадежных ссуд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113</w:t>
            </w:r>
          </w:p>
        </w:tc>
      </w:tr>
      <w:tr w:rsidR="00282D20"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2.2.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погашения ссуд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1 382 834</w:t>
            </w:r>
          </w:p>
        </w:tc>
      </w:tr>
      <w:tr w:rsidR="00282D20"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2.3.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изменения качества ссуд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1 573 582</w:t>
            </w:r>
          </w:p>
        </w:tc>
      </w:tr>
      <w:tr w:rsidR="00282D20" w:rsidRPr="00EE317B" w:rsidTr="00282D20">
        <w:trPr>
          <w:trHeight w:val="495"/>
        </w:trPr>
        <w:tc>
          <w:tcPr>
            <w:tcW w:w="96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2.4. </w:t>
            </w:r>
          </w:p>
        </w:tc>
        <w:tc>
          <w:tcPr>
            <w:tcW w:w="6040" w:type="dxa"/>
            <w:tcBorders>
              <w:top w:val="nil"/>
              <w:left w:val="nil"/>
              <w:bottom w:val="single" w:sz="8" w:space="0" w:color="95B3D7"/>
              <w:right w:val="nil"/>
            </w:tcBorders>
            <w:shd w:val="clear" w:color="auto" w:fill="auto"/>
            <w:vAlign w:val="center"/>
            <w:hideMark/>
          </w:tcPr>
          <w:p w:rsidR="00282D20" w:rsidRPr="00282D20" w:rsidRDefault="00282D20"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изменения официального курса иностранной валюты по отношению к рублю, установленного Банком России </w:t>
            </w:r>
          </w:p>
        </w:tc>
        <w:tc>
          <w:tcPr>
            <w:tcW w:w="1300" w:type="dxa"/>
            <w:tcBorders>
              <w:top w:val="nil"/>
              <w:left w:val="nil"/>
              <w:bottom w:val="single" w:sz="8" w:space="0" w:color="95B3D7"/>
              <w:right w:val="nil"/>
            </w:tcBorders>
            <w:shd w:val="clear" w:color="auto" w:fill="auto"/>
            <w:vAlign w:val="center"/>
            <w:hideMark/>
          </w:tcPr>
          <w:p w:rsidR="00282D20" w:rsidRPr="00282D20" w:rsidRDefault="00282D20"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13</w:t>
            </w:r>
          </w:p>
        </w:tc>
      </w:tr>
      <w:tr w:rsidR="00111258" w:rsidRPr="00EE317B" w:rsidTr="00282D20">
        <w:trPr>
          <w:trHeight w:val="315"/>
        </w:trPr>
        <w:tc>
          <w:tcPr>
            <w:tcW w:w="960" w:type="dxa"/>
            <w:tcBorders>
              <w:top w:val="nil"/>
              <w:left w:val="nil"/>
              <w:bottom w:val="single" w:sz="8" w:space="0" w:color="95B3D7"/>
              <w:right w:val="nil"/>
            </w:tcBorders>
            <w:shd w:val="clear" w:color="auto" w:fill="auto"/>
            <w:vAlign w:val="center"/>
            <w:hideMark/>
          </w:tcPr>
          <w:p w:rsidR="00111258" w:rsidRPr="00282D20" w:rsidRDefault="00111258" w:rsidP="00111258">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 2.5. </w:t>
            </w:r>
          </w:p>
        </w:tc>
        <w:tc>
          <w:tcPr>
            <w:tcW w:w="6040" w:type="dxa"/>
            <w:tcBorders>
              <w:top w:val="nil"/>
              <w:left w:val="nil"/>
              <w:bottom w:val="single" w:sz="8" w:space="0" w:color="95B3D7"/>
              <w:right w:val="nil"/>
            </w:tcBorders>
            <w:shd w:val="clear" w:color="auto" w:fill="auto"/>
            <w:vAlign w:val="center"/>
            <w:hideMark/>
          </w:tcPr>
          <w:p w:rsidR="00111258" w:rsidRPr="00282D20" w:rsidRDefault="00111258" w:rsidP="00111258">
            <w:pPr>
              <w:spacing w:after="0" w:line="240" w:lineRule="auto"/>
              <w:rPr>
                <w:rFonts w:ascii="Georgia" w:eastAsia="Times New Roman" w:hAnsi="Georgia" w:cs="Calibri"/>
                <w:color w:val="1F497D"/>
                <w:sz w:val="18"/>
                <w:szCs w:val="18"/>
              </w:rPr>
            </w:pPr>
            <w:r w:rsidRPr="00282D20">
              <w:rPr>
                <w:rFonts w:ascii="Georgia" w:eastAsia="Times New Roman" w:hAnsi="Georgia" w:cs="Calibri"/>
                <w:color w:val="1F497D"/>
                <w:sz w:val="18"/>
                <w:szCs w:val="18"/>
              </w:rPr>
              <w:t xml:space="preserve">иных причин </w:t>
            </w:r>
          </w:p>
        </w:tc>
        <w:tc>
          <w:tcPr>
            <w:tcW w:w="1300" w:type="dxa"/>
            <w:tcBorders>
              <w:top w:val="nil"/>
              <w:left w:val="nil"/>
              <w:bottom w:val="single" w:sz="8" w:space="0" w:color="95B3D7"/>
              <w:right w:val="nil"/>
            </w:tcBorders>
            <w:shd w:val="clear" w:color="auto" w:fill="auto"/>
            <w:vAlign w:val="center"/>
            <w:hideMark/>
          </w:tcPr>
          <w:p w:rsidR="00111258" w:rsidRPr="00282D20" w:rsidRDefault="00111258" w:rsidP="00282D20">
            <w:pPr>
              <w:spacing w:after="0" w:line="240" w:lineRule="auto"/>
              <w:jc w:val="center"/>
              <w:rPr>
                <w:rFonts w:ascii="Georgia" w:eastAsia="Times New Roman" w:hAnsi="Georgia" w:cs="Calibri"/>
                <w:color w:val="1F497D"/>
                <w:sz w:val="18"/>
                <w:szCs w:val="18"/>
              </w:rPr>
            </w:pPr>
            <w:r w:rsidRPr="00282D20">
              <w:rPr>
                <w:rFonts w:ascii="Georgia" w:eastAsia="Times New Roman" w:hAnsi="Georgia" w:cs="Calibri"/>
                <w:color w:val="1F497D"/>
                <w:sz w:val="18"/>
                <w:szCs w:val="18"/>
              </w:rPr>
              <w:t>-</w:t>
            </w:r>
          </w:p>
        </w:tc>
      </w:tr>
    </w:tbl>
    <w:p w:rsidR="0018758C" w:rsidRPr="00EE317B" w:rsidRDefault="0018758C" w:rsidP="0018758C">
      <w:pPr>
        <w:spacing w:after="120" w:line="240" w:lineRule="auto"/>
        <w:jc w:val="both"/>
        <w:rPr>
          <w:rFonts w:ascii="Georgia" w:hAnsi="Georgia"/>
          <w:sz w:val="24"/>
          <w:szCs w:val="24"/>
          <w:highlight w:val="yellow"/>
        </w:rPr>
      </w:pPr>
    </w:p>
    <w:p w:rsidR="0018758C" w:rsidRPr="00282D20" w:rsidRDefault="0018758C" w:rsidP="00BE0B80">
      <w:pPr>
        <w:pStyle w:val="2014"/>
        <w:jc w:val="left"/>
      </w:pPr>
      <w:r w:rsidRPr="00282D20">
        <w:t xml:space="preserve">Председатель Правления </w:t>
      </w:r>
      <w:r w:rsidRPr="00282D20">
        <w:tab/>
      </w:r>
      <w:r w:rsidRPr="00282D20">
        <w:tab/>
      </w:r>
      <w:r w:rsidRPr="00282D20">
        <w:tab/>
      </w:r>
      <w:r w:rsidRPr="00282D20">
        <w:tab/>
      </w:r>
      <w:r w:rsidRPr="00282D20">
        <w:tab/>
        <w:t xml:space="preserve">М.Р. Зарипов </w:t>
      </w:r>
    </w:p>
    <w:p w:rsidR="0018758C" w:rsidRPr="00282D20" w:rsidRDefault="0018758C" w:rsidP="0018758C">
      <w:pPr>
        <w:pStyle w:val="2014"/>
      </w:pPr>
    </w:p>
    <w:p w:rsidR="0018758C" w:rsidRPr="00282D20" w:rsidRDefault="0018758C" w:rsidP="0018758C">
      <w:pPr>
        <w:pStyle w:val="2014"/>
      </w:pPr>
    </w:p>
    <w:p w:rsidR="0018758C" w:rsidRPr="00282D20" w:rsidRDefault="0018758C" w:rsidP="00BE0B80">
      <w:pPr>
        <w:pStyle w:val="2014"/>
        <w:jc w:val="left"/>
      </w:pPr>
      <w:r w:rsidRPr="00282D20">
        <w:t xml:space="preserve">Главный бухгалтер </w:t>
      </w:r>
      <w:r w:rsidRPr="00282D20">
        <w:tab/>
      </w:r>
      <w:r w:rsidRPr="00282D20">
        <w:tab/>
      </w:r>
      <w:r w:rsidRPr="00282D20">
        <w:tab/>
      </w:r>
      <w:r w:rsidRPr="00282D20">
        <w:tab/>
      </w:r>
      <w:r w:rsidRPr="00282D20">
        <w:tab/>
      </w:r>
      <w:r w:rsidRPr="00282D20">
        <w:tab/>
        <w:t>Н.Р. Молева</w:t>
      </w:r>
    </w:p>
    <w:p w:rsidR="00111258" w:rsidRPr="00346912" w:rsidRDefault="00111258" w:rsidP="00111258">
      <w:pPr>
        <w:pStyle w:val="1"/>
        <w:spacing w:before="0" w:line="240" w:lineRule="auto"/>
        <w:rPr>
          <w:noProof/>
          <w:color w:val="00B050"/>
          <w:sz w:val="20"/>
          <w:szCs w:val="20"/>
        </w:rPr>
      </w:pPr>
    </w:p>
    <w:p w:rsidR="00111258" w:rsidRPr="00346912" w:rsidRDefault="004E31E4" w:rsidP="00111258">
      <w:pPr>
        <w:pStyle w:val="1"/>
        <w:spacing w:before="0" w:line="240" w:lineRule="auto"/>
        <w:rPr>
          <w:noProof/>
          <w:color w:val="00B050"/>
          <w:sz w:val="38"/>
          <w:szCs w:val="38"/>
        </w:rPr>
      </w:pPr>
      <w:bookmarkStart w:id="64" w:name="_Toc448145491"/>
      <w:r w:rsidRPr="00346912">
        <w:rPr>
          <w:noProof/>
          <w:color w:val="00B050"/>
          <w:sz w:val="38"/>
          <w:szCs w:val="38"/>
        </w:rPr>
        <w:t>Сведения об обязательных нормативах</w:t>
      </w:r>
      <w:bookmarkEnd w:id="64"/>
    </w:p>
    <w:p w:rsidR="00111258" w:rsidRPr="00346912" w:rsidRDefault="00111258" w:rsidP="00111258">
      <w:pPr>
        <w:pStyle w:val="1"/>
        <w:spacing w:before="0" w:line="240" w:lineRule="auto"/>
        <w:rPr>
          <w:noProof/>
          <w:color w:val="00B050"/>
          <w:sz w:val="20"/>
          <w:szCs w:val="20"/>
        </w:rPr>
      </w:pPr>
    </w:p>
    <w:p w:rsidR="00111258" w:rsidRPr="00346912" w:rsidRDefault="00111258" w:rsidP="00111258">
      <w:pPr>
        <w:spacing w:after="0" w:line="240" w:lineRule="auto"/>
        <w:rPr>
          <w:rFonts w:ascii="Georgia" w:hAnsi="Georgia"/>
          <w:b/>
          <w:i/>
          <w:color w:val="365F91" w:themeColor="accent1" w:themeShade="BF"/>
          <w:sz w:val="28"/>
          <w:szCs w:val="24"/>
        </w:rPr>
      </w:pPr>
      <w:r w:rsidRPr="00346912">
        <w:rPr>
          <w:rFonts w:ascii="Georgia" w:hAnsi="Georgia"/>
          <w:b/>
          <w:i/>
          <w:color w:val="365F91" w:themeColor="accent1" w:themeShade="BF"/>
          <w:sz w:val="28"/>
          <w:szCs w:val="24"/>
        </w:rPr>
        <w:t>(публикуемая форма)</w:t>
      </w:r>
    </w:p>
    <w:p w:rsidR="00111258" w:rsidRPr="00346912" w:rsidRDefault="00111258" w:rsidP="00111258">
      <w:pPr>
        <w:spacing w:after="0" w:line="240" w:lineRule="auto"/>
        <w:rPr>
          <w:rFonts w:ascii="Georgia" w:hAnsi="Georgia"/>
          <w:b/>
          <w:i/>
          <w:color w:val="365F91" w:themeColor="accent1" w:themeShade="BF"/>
          <w:sz w:val="28"/>
          <w:szCs w:val="24"/>
        </w:rPr>
      </w:pPr>
      <w:r w:rsidRPr="00346912">
        <w:rPr>
          <w:rFonts w:ascii="Georgia" w:hAnsi="Georgia"/>
          <w:b/>
          <w:i/>
          <w:color w:val="365F91" w:themeColor="accent1" w:themeShade="BF"/>
          <w:sz w:val="28"/>
          <w:szCs w:val="24"/>
        </w:rPr>
        <w:t>на 1 января 201</w:t>
      </w:r>
      <w:r w:rsidR="00346912">
        <w:rPr>
          <w:rFonts w:ascii="Georgia" w:hAnsi="Georgia"/>
          <w:b/>
          <w:i/>
          <w:color w:val="365F91" w:themeColor="accent1" w:themeShade="BF"/>
          <w:sz w:val="28"/>
          <w:szCs w:val="24"/>
        </w:rPr>
        <w:t xml:space="preserve">6 </w:t>
      </w:r>
      <w:r w:rsidRPr="00346912">
        <w:rPr>
          <w:rFonts w:ascii="Georgia" w:hAnsi="Georgia"/>
          <w:b/>
          <w:i/>
          <w:color w:val="365F91" w:themeColor="accent1" w:themeShade="BF"/>
          <w:sz w:val="28"/>
          <w:szCs w:val="24"/>
        </w:rPr>
        <w:t>года</w:t>
      </w:r>
    </w:p>
    <w:p w:rsidR="00111258" w:rsidRPr="00346912" w:rsidRDefault="00111258" w:rsidP="00111258">
      <w:pPr>
        <w:spacing w:after="120" w:line="240" w:lineRule="auto"/>
        <w:jc w:val="both"/>
        <w:rPr>
          <w:rFonts w:ascii="Georgia" w:hAnsi="Georgia"/>
          <w:sz w:val="24"/>
          <w:szCs w:val="24"/>
        </w:rPr>
      </w:pPr>
    </w:p>
    <w:p w:rsidR="00111258" w:rsidRPr="00346912" w:rsidRDefault="00111258" w:rsidP="00111258">
      <w:pPr>
        <w:spacing w:after="120" w:line="240" w:lineRule="auto"/>
        <w:jc w:val="both"/>
        <w:rPr>
          <w:rFonts w:ascii="Georgia" w:hAnsi="Georgia"/>
          <w:sz w:val="24"/>
          <w:szCs w:val="24"/>
        </w:rPr>
      </w:pPr>
    </w:p>
    <w:tbl>
      <w:tblPr>
        <w:tblW w:w="8837" w:type="dxa"/>
        <w:tblLook w:val="04A0" w:firstRow="1" w:lastRow="0" w:firstColumn="1" w:lastColumn="0" w:noHBand="0" w:noVBand="1"/>
      </w:tblPr>
      <w:tblGrid>
        <w:gridCol w:w="5150"/>
        <w:gridCol w:w="236"/>
        <w:gridCol w:w="3437"/>
        <w:gridCol w:w="14"/>
      </w:tblGrid>
      <w:tr w:rsidR="00111258" w:rsidRPr="00346912" w:rsidTr="00BE0B80">
        <w:trPr>
          <w:gridAfter w:val="1"/>
          <w:wAfter w:w="14" w:type="dxa"/>
          <w:trHeight w:val="255"/>
        </w:trPr>
        <w:tc>
          <w:tcPr>
            <w:tcW w:w="5150" w:type="dxa"/>
            <w:tcBorders>
              <w:top w:val="nil"/>
              <w:left w:val="nil"/>
              <w:bottom w:val="nil"/>
              <w:right w:val="nil"/>
            </w:tcBorders>
            <w:vAlign w:val="center"/>
          </w:tcPr>
          <w:p w:rsidR="00111258" w:rsidRPr="00346912" w:rsidRDefault="00111258" w:rsidP="00111258">
            <w:pPr>
              <w:spacing w:after="0" w:line="240" w:lineRule="auto"/>
              <w:rPr>
                <w:rFonts w:ascii="Georgia" w:eastAsia="Times New Roman" w:hAnsi="Georgia" w:cs="Arial CYR"/>
                <w:szCs w:val="20"/>
              </w:rPr>
            </w:pPr>
            <w:r w:rsidRPr="00346912">
              <w:rPr>
                <w:rFonts w:ascii="Georgia" w:eastAsia="Times New Roman" w:hAnsi="Georgia" w:cs="Arial CYR"/>
                <w:szCs w:val="20"/>
              </w:rPr>
              <w:t xml:space="preserve">Кредитной организации </w:t>
            </w:r>
          </w:p>
          <w:p w:rsidR="00111258" w:rsidRPr="00346912" w:rsidRDefault="00346912" w:rsidP="00111258">
            <w:pPr>
              <w:spacing w:after="0" w:line="240" w:lineRule="auto"/>
              <w:rPr>
                <w:rFonts w:ascii="Georgia" w:eastAsia="Times New Roman" w:hAnsi="Georgia" w:cs="Arial CYR"/>
                <w:szCs w:val="20"/>
              </w:rPr>
            </w:pPr>
            <w:r>
              <w:rPr>
                <w:rFonts w:ascii="Georgia" w:eastAsia="Times New Roman" w:hAnsi="Georgia" w:cs="Arial CYR"/>
                <w:szCs w:val="20"/>
              </w:rPr>
              <w:t>П</w:t>
            </w:r>
            <w:r w:rsidR="00111258" w:rsidRPr="00346912">
              <w:rPr>
                <w:rFonts w:ascii="Georgia" w:eastAsia="Times New Roman" w:hAnsi="Georgia" w:cs="Arial CYR"/>
                <w:szCs w:val="20"/>
              </w:rPr>
              <w:t>АО «ИнтехБанк»</w:t>
            </w:r>
          </w:p>
        </w:tc>
        <w:tc>
          <w:tcPr>
            <w:tcW w:w="3673" w:type="dxa"/>
            <w:gridSpan w:val="2"/>
            <w:tcBorders>
              <w:top w:val="nil"/>
              <w:left w:val="nil"/>
              <w:bottom w:val="nil"/>
              <w:right w:val="nil"/>
            </w:tcBorders>
            <w:shd w:val="clear" w:color="auto" w:fill="auto"/>
            <w:noWrap/>
            <w:vAlign w:val="bottom"/>
            <w:hideMark/>
          </w:tcPr>
          <w:p w:rsidR="00111258" w:rsidRPr="00346912" w:rsidRDefault="004E31E4" w:rsidP="00111258">
            <w:pPr>
              <w:spacing w:after="0" w:line="240" w:lineRule="auto"/>
              <w:jc w:val="right"/>
              <w:rPr>
                <w:rFonts w:ascii="Georgia" w:eastAsia="Times New Roman" w:hAnsi="Georgia" w:cs="Arial CYR"/>
                <w:szCs w:val="20"/>
              </w:rPr>
            </w:pPr>
            <w:r w:rsidRPr="00346912">
              <w:rPr>
                <w:rFonts w:ascii="Georgia" w:eastAsia="Times New Roman" w:hAnsi="Georgia" w:cs="Arial CYR"/>
                <w:szCs w:val="20"/>
              </w:rPr>
              <w:t>Код формы по ОКУД 0409813</w:t>
            </w:r>
          </w:p>
        </w:tc>
      </w:tr>
      <w:tr w:rsidR="00111258" w:rsidRPr="00346912" w:rsidTr="00BE0B80">
        <w:trPr>
          <w:gridAfter w:val="1"/>
          <w:wAfter w:w="14" w:type="dxa"/>
          <w:trHeight w:val="255"/>
        </w:trPr>
        <w:tc>
          <w:tcPr>
            <w:tcW w:w="5150" w:type="dxa"/>
            <w:tcBorders>
              <w:top w:val="nil"/>
              <w:left w:val="nil"/>
              <w:bottom w:val="nil"/>
              <w:right w:val="nil"/>
            </w:tcBorders>
            <w:vAlign w:val="center"/>
          </w:tcPr>
          <w:p w:rsidR="00111258" w:rsidRPr="00346912" w:rsidRDefault="00111258" w:rsidP="00111258">
            <w:pPr>
              <w:spacing w:after="0" w:line="240" w:lineRule="auto"/>
              <w:rPr>
                <w:rFonts w:ascii="Georgia" w:eastAsia="Times New Roman" w:hAnsi="Georgia" w:cs="Arial CYR"/>
                <w:szCs w:val="20"/>
              </w:rPr>
            </w:pPr>
            <w:r w:rsidRPr="00346912">
              <w:rPr>
                <w:rFonts w:ascii="Georgia" w:eastAsia="Times New Roman" w:hAnsi="Georgia" w:cs="Arial CYR"/>
                <w:szCs w:val="20"/>
              </w:rPr>
              <w:t xml:space="preserve">Почтовый адрес: </w:t>
            </w:r>
          </w:p>
        </w:tc>
        <w:tc>
          <w:tcPr>
            <w:tcW w:w="3673" w:type="dxa"/>
            <w:gridSpan w:val="2"/>
            <w:tcBorders>
              <w:top w:val="nil"/>
              <w:left w:val="nil"/>
              <w:bottom w:val="nil"/>
              <w:right w:val="nil"/>
            </w:tcBorders>
            <w:shd w:val="clear" w:color="auto" w:fill="auto"/>
            <w:noWrap/>
            <w:vAlign w:val="center"/>
            <w:hideMark/>
          </w:tcPr>
          <w:p w:rsidR="00111258" w:rsidRPr="00346912" w:rsidRDefault="004E31E4" w:rsidP="004E31E4">
            <w:pPr>
              <w:spacing w:after="0" w:line="240" w:lineRule="auto"/>
              <w:jc w:val="right"/>
              <w:rPr>
                <w:rFonts w:ascii="Georgia" w:eastAsia="Times New Roman" w:hAnsi="Georgia" w:cs="Arial CYR"/>
                <w:szCs w:val="20"/>
              </w:rPr>
            </w:pPr>
            <w:r w:rsidRPr="00346912">
              <w:rPr>
                <w:rFonts w:ascii="Georgia" w:eastAsia="Times New Roman" w:hAnsi="Georgia" w:cs="Arial CYR"/>
                <w:szCs w:val="20"/>
              </w:rPr>
              <w:t>Квартальная (Годовая)</w:t>
            </w:r>
          </w:p>
        </w:tc>
      </w:tr>
      <w:tr w:rsidR="00111258" w:rsidRPr="00346912" w:rsidTr="00BE0B80">
        <w:trPr>
          <w:trHeight w:val="255"/>
        </w:trPr>
        <w:tc>
          <w:tcPr>
            <w:tcW w:w="5150" w:type="dxa"/>
            <w:tcBorders>
              <w:top w:val="nil"/>
              <w:left w:val="nil"/>
              <w:bottom w:val="nil"/>
              <w:right w:val="nil"/>
            </w:tcBorders>
            <w:vAlign w:val="center"/>
          </w:tcPr>
          <w:p w:rsidR="00111258" w:rsidRPr="00346912" w:rsidRDefault="00111258" w:rsidP="00111258">
            <w:pPr>
              <w:spacing w:after="0" w:line="240" w:lineRule="auto"/>
              <w:rPr>
                <w:rFonts w:ascii="Georgia" w:eastAsia="Times New Roman" w:hAnsi="Georgia" w:cs="Arial CYR"/>
                <w:szCs w:val="20"/>
              </w:rPr>
            </w:pPr>
            <w:r w:rsidRPr="00346912">
              <w:rPr>
                <w:rFonts w:ascii="Georgia" w:eastAsia="Times New Roman" w:hAnsi="Georgia" w:cs="Arial CYR"/>
                <w:szCs w:val="20"/>
              </w:rPr>
              <w:t>г. Казань, ул. Шигабутдина Марджани, д. 24</w:t>
            </w:r>
          </w:p>
        </w:tc>
        <w:tc>
          <w:tcPr>
            <w:tcW w:w="236" w:type="dxa"/>
            <w:tcBorders>
              <w:top w:val="nil"/>
              <w:left w:val="nil"/>
              <w:bottom w:val="nil"/>
              <w:right w:val="nil"/>
            </w:tcBorders>
            <w:shd w:val="clear" w:color="auto" w:fill="auto"/>
            <w:noWrap/>
            <w:vAlign w:val="center"/>
            <w:hideMark/>
          </w:tcPr>
          <w:p w:rsidR="00111258" w:rsidRPr="00346912" w:rsidRDefault="00111258" w:rsidP="00111258">
            <w:pPr>
              <w:spacing w:after="0" w:line="240" w:lineRule="auto"/>
              <w:jc w:val="right"/>
              <w:rPr>
                <w:rFonts w:ascii="Georgia" w:eastAsia="Times New Roman" w:hAnsi="Georgia" w:cs="Arial CYR"/>
                <w:szCs w:val="20"/>
              </w:rPr>
            </w:pPr>
          </w:p>
        </w:tc>
        <w:tc>
          <w:tcPr>
            <w:tcW w:w="3451" w:type="dxa"/>
            <w:gridSpan w:val="2"/>
            <w:tcBorders>
              <w:top w:val="nil"/>
              <w:left w:val="nil"/>
              <w:bottom w:val="nil"/>
              <w:right w:val="nil"/>
            </w:tcBorders>
            <w:shd w:val="clear" w:color="auto" w:fill="auto"/>
            <w:noWrap/>
            <w:vAlign w:val="center"/>
            <w:hideMark/>
          </w:tcPr>
          <w:p w:rsidR="00111258" w:rsidRPr="00346912" w:rsidRDefault="004E31E4" w:rsidP="00111258">
            <w:pPr>
              <w:spacing w:after="0" w:line="240" w:lineRule="auto"/>
              <w:jc w:val="right"/>
              <w:rPr>
                <w:rFonts w:ascii="Georgia" w:eastAsia="Times New Roman" w:hAnsi="Georgia" w:cs="Arial CYR"/>
                <w:szCs w:val="20"/>
              </w:rPr>
            </w:pPr>
            <w:r w:rsidRPr="00346912">
              <w:rPr>
                <w:rFonts w:ascii="Georgia" w:eastAsia="Times New Roman" w:hAnsi="Georgia" w:cs="Arial CYR"/>
                <w:szCs w:val="20"/>
              </w:rPr>
              <w:t>в процентах</w:t>
            </w:r>
          </w:p>
        </w:tc>
      </w:tr>
    </w:tbl>
    <w:p w:rsidR="00111258" w:rsidRDefault="00111258" w:rsidP="00111258">
      <w:pPr>
        <w:spacing w:after="120" w:line="240" w:lineRule="auto"/>
        <w:jc w:val="both"/>
        <w:rPr>
          <w:rFonts w:ascii="Georgia" w:hAnsi="Georgia"/>
          <w:sz w:val="24"/>
          <w:szCs w:val="24"/>
          <w:lang w:val="en-US"/>
        </w:rPr>
      </w:pPr>
    </w:p>
    <w:p w:rsidR="00214744" w:rsidRPr="00214744" w:rsidRDefault="00214744" w:rsidP="00111258">
      <w:pPr>
        <w:spacing w:after="120" w:line="240" w:lineRule="auto"/>
        <w:jc w:val="both"/>
        <w:rPr>
          <w:rFonts w:ascii="Georgia" w:hAnsi="Georgia"/>
          <w:b/>
          <w:i/>
          <w:color w:val="365F91" w:themeColor="accent1" w:themeShade="BF"/>
          <w:szCs w:val="24"/>
        </w:rPr>
      </w:pPr>
      <w:r w:rsidRPr="00214744">
        <w:rPr>
          <w:rFonts w:ascii="Georgia" w:hAnsi="Georgia"/>
          <w:b/>
          <w:i/>
          <w:color w:val="365F91" w:themeColor="accent1" w:themeShade="BF"/>
          <w:szCs w:val="24"/>
        </w:rPr>
        <w:t>Раздел 1. Сведения об обязательных нормативах</w:t>
      </w:r>
    </w:p>
    <w:tbl>
      <w:tblPr>
        <w:tblW w:w="8709" w:type="dxa"/>
        <w:tblLayout w:type="fixed"/>
        <w:tblCellMar>
          <w:left w:w="0" w:type="dxa"/>
          <w:right w:w="0" w:type="dxa"/>
        </w:tblCellMar>
        <w:tblLook w:val="04A0" w:firstRow="1" w:lastRow="0" w:firstColumn="1" w:lastColumn="0" w:noHBand="0" w:noVBand="1"/>
      </w:tblPr>
      <w:tblGrid>
        <w:gridCol w:w="763"/>
        <w:gridCol w:w="3133"/>
        <w:gridCol w:w="1061"/>
        <w:gridCol w:w="1357"/>
        <w:gridCol w:w="467"/>
        <w:gridCol w:w="1377"/>
        <w:gridCol w:w="551"/>
      </w:tblGrid>
      <w:tr w:rsidR="004E31E4" w:rsidRPr="00346912" w:rsidTr="00BE0B80">
        <w:trPr>
          <w:trHeight w:val="100"/>
        </w:trPr>
        <w:tc>
          <w:tcPr>
            <w:tcW w:w="763" w:type="dxa"/>
            <w:vMerge w:val="restart"/>
            <w:tcBorders>
              <w:top w:val="nil"/>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Номер строки</w:t>
            </w:r>
          </w:p>
        </w:tc>
        <w:tc>
          <w:tcPr>
            <w:tcW w:w="3133" w:type="dxa"/>
            <w:vMerge w:val="restart"/>
            <w:tcBorders>
              <w:top w:val="nil"/>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Наименование показателя</w:t>
            </w:r>
          </w:p>
        </w:tc>
        <w:tc>
          <w:tcPr>
            <w:tcW w:w="1061" w:type="dxa"/>
            <w:vMerge w:val="restart"/>
            <w:tcBorders>
              <w:top w:val="nil"/>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Норма-тивное значение</w:t>
            </w:r>
          </w:p>
        </w:tc>
        <w:tc>
          <w:tcPr>
            <w:tcW w:w="3752" w:type="dxa"/>
            <w:gridSpan w:val="4"/>
            <w:tcBorders>
              <w:top w:val="nil"/>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Фактическое значение</w:t>
            </w:r>
          </w:p>
        </w:tc>
      </w:tr>
      <w:tr w:rsidR="004E31E4" w:rsidRPr="00346912" w:rsidTr="00BE0B80">
        <w:trPr>
          <w:trHeight w:val="80"/>
        </w:trPr>
        <w:tc>
          <w:tcPr>
            <w:tcW w:w="763" w:type="dxa"/>
            <w:vMerge/>
            <w:tcBorders>
              <w:top w:val="nil"/>
              <w:left w:val="nil"/>
              <w:bottom w:val="single" w:sz="8" w:space="0" w:color="95B3D7"/>
              <w:right w:val="nil"/>
            </w:tcBorders>
            <w:vAlign w:val="center"/>
            <w:hideMark/>
          </w:tcPr>
          <w:p w:rsidR="004E31E4" w:rsidRPr="00346912" w:rsidRDefault="004E31E4" w:rsidP="004E31E4">
            <w:pPr>
              <w:spacing w:after="0" w:line="240" w:lineRule="auto"/>
              <w:rPr>
                <w:rFonts w:ascii="Georgia" w:eastAsia="Times New Roman" w:hAnsi="Georgia" w:cs="Calibri"/>
                <w:b/>
                <w:bCs/>
                <w:color w:val="1F497D"/>
                <w:sz w:val="19"/>
                <w:szCs w:val="19"/>
              </w:rPr>
            </w:pPr>
          </w:p>
        </w:tc>
        <w:tc>
          <w:tcPr>
            <w:tcW w:w="3133" w:type="dxa"/>
            <w:vMerge/>
            <w:tcBorders>
              <w:top w:val="nil"/>
              <w:left w:val="nil"/>
              <w:bottom w:val="single" w:sz="8" w:space="0" w:color="95B3D7"/>
              <w:right w:val="nil"/>
            </w:tcBorders>
            <w:vAlign w:val="center"/>
            <w:hideMark/>
          </w:tcPr>
          <w:p w:rsidR="004E31E4" w:rsidRPr="00346912" w:rsidRDefault="004E31E4" w:rsidP="004E31E4">
            <w:pPr>
              <w:spacing w:after="0" w:line="240" w:lineRule="auto"/>
              <w:rPr>
                <w:rFonts w:ascii="Georgia" w:eastAsia="Times New Roman" w:hAnsi="Georgia" w:cs="Calibri"/>
                <w:b/>
                <w:bCs/>
                <w:color w:val="1F497D"/>
                <w:sz w:val="19"/>
                <w:szCs w:val="19"/>
              </w:rPr>
            </w:pPr>
          </w:p>
        </w:tc>
        <w:tc>
          <w:tcPr>
            <w:tcW w:w="1061" w:type="dxa"/>
            <w:vMerge/>
            <w:tcBorders>
              <w:top w:val="nil"/>
              <w:left w:val="nil"/>
              <w:bottom w:val="single" w:sz="8" w:space="0" w:color="95B3D7"/>
              <w:right w:val="nil"/>
            </w:tcBorders>
            <w:vAlign w:val="center"/>
            <w:hideMark/>
          </w:tcPr>
          <w:p w:rsidR="004E31E4" w:rsidRPr="00346912" w:rsidRDefault="004E31E4" w:rsidP="004E31E4">
            <w:pPr>
              <w:spacing w:after="0" w:line="240" w:lineRule="auto"/>
              <w:rPr>
                <w:rFonts w:ascii="Georgia" w:eastAsia="Times New Roman" w:hAnsi="Georgia" w:cs="Calibri"/>
                <w:b/>
                <w:bCs/>
                <w:color w:val="1F497D"/>
                <w:sz w:val="19"/>
                <w:szCs w:val="19"/>
              </w:rPr>
            </w:pPr>
          </w:p>
        </w:tc>
        <w:tc>
          <w:tcPr>
            <w:tcW w:w="1824" w:type="dxa"/>
            <w:gridSpan w:val="2"/>
            <w:tcBorders>
              <w:top w:val="single" w:sz="8" w:space="0" w:color="95B3D7"/>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на отчетную</w:t>
            </w:r>
          </w:p>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 xml:space="preserve"> дату</w:t>
            </w:r>
          </w:p>
        </w:tc>
        <w:tc>
          <w:tcPr>
            <w:tcW w:w="1928" w:type="dxa"/>
            <w:gridSpan w:val="2"/>
            <w:tcBorders>
              <w:top w:val="single" w:sz="8" w:space="0" w:color="95B3D7"/>
              <w:left w:val="nil"/>
              <w:bottom w:val="single" w:sz="8" w:space="0" w:color="95B3D7"/>
              <w:right w:val="nil"/>
            </w:tcBorders>
            <w:shd w:val="clear" w:color="000000" w:fill="DBE5F1"/>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 xml:space="preserve">на соответствующую отчетную дату прошлого года </w:t>
            </w:r>
          </w:p>
        </w:tc>
      </w:tr>
      <w:tr w:rsidR="004E31E4" w:rsidRPr="00346912" w:rsidTr="00BE0B80">
        <w:trPr>
          <w:trHeight w:val="80"/>
        </w:trPr>
        <w:tc>
          <w:tcPr>
            <w:tcW w:w="76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1</w:t>
            </w:r>
          </w:p>
        </w:tc>
        <w:tc>
          <w:tcPr>
            <w:tcW w:w="313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2</w:t>
            </w:r>
          </w:p>
        </w:tc>
        <w:tc>
          <w:tcPr>
            <w:tcW w:w="1061" w:type="dxa"/>
            <w:tcBorders>
              <w:top w:val="nil"/>
              <w:left w:val="nil"/>
              <w:bottom w:val="single" w:sz="8" w:space="0" w:color="95B3D7"/>
              <w:right w:val="nil"/>
            </w:tcBorders>
            <w:shd w:val="clear" w:color="auto" w:fill="auto"/>
            <w:vAlign w:val="center"/>
            <w:hideMark/>
          </w:tcPr>
          <w:p w:rsidR="004E31E4" w:rsidRPr="00346912" w:rsidRDefault="00F80BF3"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3</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4E31E4" w:rsidRPr="00346912" w:rsidRDefault="00F80BF3"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4</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4E31E4" w:rsidRPr="00346912" w:rsidRDefault="00F80BF3" w:rsidP="004E31E4">
            <w:pPr>
              <w:spacing w:after="0" w:line="240" w:lineRule="auto"/>
              <w:jc w:val="center"/>
              <w:rPr>
                <w:rFonts w:ascii="Georgia" w:eastAsia="Times New Roman" w:hAnsi="Georgia" w:cs="Calibri"/>
                <w:b/>
                <w:bCs/>
                <w:color w:val="1F497D"/>
                <w:sz w:val="19"/>
                <w:szCs w:val="19"/>
              </w:rPr>
            </w:pPr>
            <w:r w:rsidRPr="00346912">
              <w:rPr>
                <w:rFonts w:ascii="Georgia" w:eastAsia="Times New Roman" w:hAnsi="Georgia" w:cs="Calibri"/>
                <w:b/>
                <w:bCs/>
                <w:color w:val="1F497D"/>
                <w:sz w:val="19"/>
                <w:szCs w:val="19"/>
              </w:rPr>
              <w:t>5</w:t>
            </w:r>
          </w:p>
        </w:tc>
      </w:tr>
      <w:tr w:rsidR="00F40BA8" w:rsidRPr="00346912" w:rsidTr="00BE0B80">
        <w:trPr>
          <w:trHeight w:val="8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достаточности базового капитала (Н1.1)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5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5.8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8.6 </w:t>
            </w:r>
          </w:p>
        </w:tc>
      </w:tr>
      <w:tr w:rsidR="00F40BA8" w:rsidRPr="00346912" w:rsidTr="00BE0B80">
        <w:trPr>
          <w:trHeight w:val="8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2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достаточности основного капитала банка (Н1.2)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6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9.9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8.6 </w:t>
            </w:r>
          </w:p>
        </w:tc>
      </w:tr>
      <w:tr w:rsidR="00F40BA8" w:rsidRPr="00346912" w:rsidTr="00BE0B80">
        <w:trPr>
          <w:trHeight w:val="253"/>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3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достаточности собственных средств (капитала) банка (норматив Н1.0)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12.4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11.2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4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достаточности собственных средств (капитала) небанковской кредитной организации, имеющей право на осуществление переводов денежных средств без открытия банковских счетов и связанных с ними иных банковских операций (Н1.3)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r w:rsidR="00F40BA8" w:rsidRPr="00346912" w:rsidTr="00BE0B80">
        <w:trPr>
          <w:trHeight w:val="8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5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мгновенной ликвидности банка (Н2)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15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222.6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90.0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6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текущей ликвидности банка (Н3)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50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95.5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93.1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7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долгосрочной ликвидности (Н4)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120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F40BA8">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37.8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77.6 </w:t>
            </w:r>
          </w:p>
        </w:tc>
      </w:tr>
      <w:tr w:rsidR="00F40BA8" w:rsidRPr="00346912" w:rsidTr="00F40BA8">
        <w:trPr>
          <w:trHeight w:hRule="exact" w:val="421"/>
        </w:trPr>
        <w:tc>
          <w:tcPr>
            <w:tcW w:w="763" w:type="dxa"/>
            <w:vMerge w:val="restart"/>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8 </w:t>
            </w:r>
          </w:p>
        </w:tc>
        <w:tc>
          <w:tcPr>
            <w:tcW w:w="3133" w:type="dxa"/>
            <w:vMerge w:val="restart"/>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максимального размера риска на одного заемщика или группу связанных заемщиков (Н6)     </w:t>
            </w:r>
          </w:p>
        </w:tc>
        <w:tc>
          <w:tcPr>
            <w:tcW w:w="1061" w:type="dxa"/>
            <w:vMerge w:val="restart"/>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25 </w:t>
            </w:r>
          </w:p>
        </w:tc>
        <w:tc>
          <w:tcPr>
            <w:tcW w:w="1357"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максимальное </w:t>
            </w:r>
          </w:p>
        </w:tc>
        <w:tc>
          <w:tcPr>
            <w:tcW w:w="467" w:type="dxa"/>
            <w:tcBorders>
              <w:top w:val="nil"/>
              <w:left w:val="nil"/>
              <w:bottom w:val="single" w:sz="8" w:space="0" w:color="95B3D7"/>
              <w:right w:val="nil"/>
            </w:tcBorders>
            <w:shd w:val="clear" w:color="auto" w:fill="auto"/>
            <w:vAlign w:val="center"/>
          </w:tcPr>
          <w:p w:rsidR="00F40BA8" w:rsidRPr="00346912" w:rsidRDefault="00F40BA8" w:rsidP="00F40BA8">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23</w:t>
            </w:r>
          </w:p>
        </w:tc>
        <w:tc>
          <w:tcPr>
            <w:tcW w:w="1377" w:type="dxa"/>
            <w:tcBorders>
              <w:top w:val="nil"/>
              <w:left w:val="nil"/>
              <w:bottom w:val="single" w:sz="8" w:space="0" w:color="95B3D7"/>
              <w:right w:val="nil"/>
            </w:tcBorders>
            <w:shd w:val="clear" w:color="auto" w:fill="auto"/>
            <w:vAlign w:val="center"/>
            <w:hideMark/>
          </w:tcPr>
          <w:p w:rsidR="00F40BA8" w:rsidRPr="00346912" w:rsidRDefault="00F40BA8" w:rsidP="006D50BF">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максимальное </w:t>
            </w:r>
          </w:p>
        </w:tc>
        <w:tc>
          <w:tcPr>
            <w:tcW w:w="551" w:type="dxa"/>
            <w:tcBorders>
              <w:top w:val="nil"/>
              <w:left w:val="nil"/>
              <w:bottom w:val="single" w:sz="8" w:space="0" w:color="95B3D7"/>
              <w:right w:val="nil"/>
            </w:tcBorders>
            <w:shd w:val="clear" w:color="auto" w:fill="auto"/>
            <w:vAlign w:val="center"/>
            <w:hideMark/>
          </w:tcPr>
          <w:p w:rsidR="00F40BA8" w:rsidRPr="00346912" w:rsidRDefault="00F40BA8" w:rsidP="00346912">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w:t>
            </w:r>
            <w:r w:rsidR="00346912" w:rsidRPr="00346912">
              <w:rPr>
                <w:rFonts w:ascii="Georgia" w:eastAsia="Times New Roman" w:hAnsi="Georgia" w:cs="Calibri"/>
                <w:color w:val="1F497D"/>
                <w:sz w:val="19"/>
                <w:szCs w:val="19"/>
              </w:rPr>
              <w:t>22.3</w:t>
            </w:r>
            <w:r w:rsidRPr="00346912">
              <w:rPr>
                <w:rFonts w:ascii="Georgia" w:eastAsia="Times New Roman" w:hAnsi="Georgia" w:cs="Calibri"/>
                <w:color w:val="1F497D"/>
                <w:sz w:val="19"/>
                <w:szCs w:val="19"/>
              </w:rPr>
              <w:t xml:space="preserve"> </w:t>
            </w:r>
          </w:p>
        </w:tc>
      </w:tr>
      <w:tr w:rsidR="00F40BA8" w:rsidRPr="00346912" w:rsidTr="0092704D">
        <w:trPr>
          <w:trHeight w:hRule="exact" w:val="427"/>
        </w:trPr>
        <w:tc>
          <w:tcPr>
            <w:tcW w:w="763" w:type="dxa"/>
            <w:vMerge/>
            <w:tcBorders>
              <w:top w:val="nil"/>
              <w:left w:val="nil"/>
              <w:bottom w:val="single" w:sz="8" w:space="0" w:color="95B3D7"/>
              <w:right w:val="nil"/>
            </w:tcBorders>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p>
        </w:tc>
        <w:tc>
          <w:tcPr>
            <w:tcW w:w="3133" w:type="dxa"/>
            <w:vMerge/>
            <w:tcBorders>
              <w:top w:val="nil"/>
              <w:left w:val="nil"/>
              <w:bottom w:val="single" w:sz="8" w:space="0" w:color="95B3D7"/>
              <w:right w:val="nil"/>
            </w:tcBorders>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p>
        </w:tc>
        <w:tc>
          <w:tcPr>
            <w:tcW w:w="1061" w:type="dxa"/>
            <w:vMerge/>
            <w:tcBorders>
              <w:top w:val="nil"/>
              <w:left w:val="nil"/>
              <w:bottom w:val="single" w:sz="8" w:space="0" w:color="95B3D7"/>
              <w:right w:val="nil"/>
            </w:tcBorders>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p>
        </w:tc>
        <w:tc>
          <w:tcPr>
            <w:tcW w:w="1357"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минимальное </w:t>
            </w:r>
          </w:p>
        </w:tc>
        <w:tc>
          <w:tcPr>
            <w:tcW w:w="467" w:type="dxa"/>
            <w:tcBorders>
              <w:top w:val="nil"/>
              <w:left w:val="nil"/>
              <w:bottom w:val="single" w:sz="8" w:space="0" w:color="95B3D7"/>
              <w:right w:val="nil"/>
            </w:tcBorders>
            <w:shd w:val="clear" w:color="auto" w:fill="auto"/>
            <w:vAlign w:val="center"/>
            <w:hideMark/>
          </w:tcPr>
          <w:p w:rsidR="00F40BA8" w:rsidRPr="00346912" w:rsidRDefault="00F40BA8" w:rsidP="00F40BA8">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w:t>
            </w:r>
            <w:r w:rsidR="00346912" w:rsidRPr="00346912">
              <w:rPr>
                <w:rFonts w:ascii="Georgia" w:eastAsia="Times New Roman" w:hAnsi="Georgia" w:cs="Calibri"/>
                <w:color w:val="1F497D"/>
                <w:sz w:val="19"/>
                <w:szCs w:val="19"/>
              </w:rPr>
              <w:t xml:space="preserve"> 0.0</w:t>
            </w:r>
            <w:r w:rsidRPr="00346912">
              <w:rPr>
                <w:rFonts w:ascii="Georgia" w:eastAsia="Times New Roman" w:hAnsi="Georgia" w:cs="Calibri"/>
                <w:color w:val="1F497D"/>
                <w:sz w:val="19"/>
                <w:szCs w:val="19"/>
              </w:rPr>
              <w:t xml:space="preserve"> </w:t>
            </w:r>
          </w:p>
        </w:tc>
        <w:tc>
          <w:tcPr>
            <w:tcW w:w="1377" w:type="dxa"/>
            <w:tcBorders>
              <w:top w:val="nil"/>
              <w:left w:val="nil"/>
              <w:bottom w:val="single" w:sz="8" w:space="0" w:color="95B3D7"/>
              <w:right w:val="nil"/>
            </w:tcBorders>
            <w:shd w:val="clear" w:color="auto" w:fill="auto"/>
            <w:vAlign w:val="center"/>
            <w:hideMark/>
          </w:tcPr>
          <w:p w:rsidR="00F40BA8" w:rsidRPr="00346912" w:rsidRDefault="00F40BA8" w:rsidP="006D50BF">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минимальное </w:t>
            </w:r>
          </w:p>
        </w:tc>
        <w:tc>
          <w:tcPr>
            <w:tcW w:w="551" w:type="dxa"/>
            <w:tcBorders>
              <w:top w:val="nil"/>
              <w:left w:val="nil"/>
              <w:bottom w:val="single" w:sz="8" w:space="0" w:color="95B3D7"/>
              <w:right w:val="nil"/>
            </w:tcBorders>
            <w:shd w:val="clear" w:color="auto" w:fill="auto"/>
            <w:vAlign w:val="center"/>
            <w:hideMark/>
          </w:tcPr>
          <w:p w:rsidR="00F40BA8" w:rsidRPr="00346912" w:rsidRDefault="00F40BA8" w:rsidP="00346912">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w:t>
            </w:r>
            <w:r w:rsidR="00346912" w:rsidRPr="00346912">
              <w:rPr>
                <w:rFonts w:ascii="Georgia" w:eastAsia="Times New Roman" w:hAnsi="Georgia" w:cs="Calibri"/>
                <w:color w:val="1F497D"/>
                <w:sz w:val="19"/>
                <w:szCs w:val="19"/>
              </w:rPr>
              <w:t>0.0</w:t>
            </w:r>
            <w:r w:rsidRPr="00346912">
              <w:rPr>
                <w:rFonts w:ascii="Georgia" w:eastAsia="Times New Roman" w:hAnsi="Georgia" w:cs="Calibri"/>
                <w:color w:val="1F497D"/>
                <w:sz w:val="19"/>
                <w:szCs w:val="19"/>
              </w:rPr>
              <w:t xml:space="preserve">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9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максимального размера крупных кредитных рисков (Н7)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800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346912">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w:t>
            </w:r>
            <w:r w:rsidR="00346912" w:rsidRPr="00346912">
              <w:rPr>
                <w:rFonts w:ascii="Georgia" w:eastAsia="Times New Roman" w:hAnsi="Georgia" w:cs="Calibri"/>
                <w:color w:val="1F497D"/>
                <w:sz w:val="19"/>
                <w:szCs w:val="19"/>
              </w:rPr>
              <w:t>348</w:t>
            </w:r>
            <w:r w:rsidRPr="00346912">
              <w:rPr>
                <w:rFonts w:ascii="Georgia" w:eastAsia="Times New Roman" w:hAnsi="Georgia" w:cs="Calibri"/>
                <w:color w:val="1F497D"/>
                <w:sz w:val="19"/>
                <w:szCs w:val="19"/>
              </w:rPr>
              <w:t>.</w:t>
            </w:r>
            <w:r w:rsidR="00346912" w:rsidRPr="00346912">
              <w:rPr>
                <w:rFonts w:ascii="Georgia" w:eastAsia="Times New Roman" w:hAnsi="Georgia" w:cs="Calibri"/>
                <w:color w:val="1F497D"/>
                <w:sz w:val="19"/>
                <w:szCs w:val="19"/>
              </w:rPr>
              <w:t>3</w:t>
            </w:r>
            <w:r w:rsidRPr="00346912">
              <w:rPr>
                <w:rFonts w:ascii="Georgia" w:eastAsia="Times New Roman" w:hAnsi="Georgia" w:cs="Calibri"/>
                <w:color w:val="1F497D"/>
                <w:sz w:val="19"/>
                <w:szCs w:val="19"/>
              </w:rPr>
              <w:t xml:space="preserve">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447.4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10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максимального размера кредитов, банковских гарантий и поручительств, предоставленных банком своим участникам (акционерам) (Н9.1)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50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346912">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w:t>
            </w:r>
            <w:r w:rsidR="00346912" w:rsidRPr="00346912">
              <w:rPr>
                <w:rFonts w:ascii="Georgia" w:eastAsia="Times New Roman" w:hAnsi="Georgia" w:cs="Calibri"/>
                <w:color w:val="1F497D"/>
                <w:sz w:val="19"/>
                <w:szCs w:val="19"/>
              </w:rPr>
              <w:t>15.9</w:t>
            </w:r>
            <w:r w:rsidRPr="00346912">
              <w:rPr>
                <w:rFonts w:ascii="Georgia" w:eastAsia="Times New Roman" w:hAnsi="Georgia" w:cs="Calibri"/>
                <w:color w:val="1F497D"/>
                <w:sz w:val="19"/>
                <w:szCs w:val="19"/>
              </w:rPr>
              <w:t xml:space="preserve">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18.2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11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совокупной величины риска по инсайдерам банка (Н10.1)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3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346912">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w:t>
            </w:r>
            <w:r w:rsidR="00346912" w:rsidRPr="00346912">
              <w:rPr>
                <w:rFonts w:ascii="Georgia" w:eastAsia="Times New Roman" w:hAnsi="Georgia" w:cs="Calibri"/>
                <w:color w:val="1F497D"/>
                <w:sz w:val="19"/>
                <w:szCs w:val="19"/>
              </w:rPr>
              <w:t>7</w:t>
            </w:r>
            <w:r w:rsidRPr="00346912">
              <w:rPr>
                <w:rFonts w:ascii="Georgia" w:eastAsia="Times New Roman" w:hAnsi="Georgia" w:cs="Calibri"/>
                <w:color w:val="1F497D"/>
                <w:sz w:val="19"/>
                <w:szCs w:val="19"/>
              </w:rPr>
              <w:t xml:space="preserve">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0.9 </w:t>
            </w:r>
          </w:p>
        </w:tc>
      </w:tr>
      <w:tr w:rsidR="00F40BA8" w:rsidRPr="00346912" w:rsidTr="00BE0B80">
        <w:trPr>
          <w:trHeight w:val="300"/>
        </w:trPr>
        <w:tc>
          <w:tcPr>
            <w:tcW w:w="76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12 </w:t>
            </w:r>
          </w:p>
        </w:tc>
        <w:tc>
          <w:tcPr>
            <w:tcW w:w="3133"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использования собственных средств (капитала) банка для приобретения акций (долей) других юридических лиц (Н12)     </w:t>
            </w:r>
          </w:p>
        </w:tc>
        <w:tc>
          <w:tcPr>
            <w:tcW w:w="1061" w:type="dxa"/>
            <w:tcBorders>
              <w:top w:val="nil"/>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25 </w:t>
            </w:r>
          </w:p>
        </w:tc>
        <w:tc>
          <w:tcPr>
            <w:tcW w:w="1824"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gridSpan w:val="2"/>
            <w:tcBorders>
              <w:top w:val="single" w:sz="8" w:space="0" w:color="95B3D7"/>
              <w:left w:val="nil"/>
              <w:bottom w:val="single" w:sz="8" w:space="0" w:color="95B3D7"/>
              <w:right w:val="nil"/>
            </w:tcBorders>
            <w:shd w:val="clear" w:color="auto" w:fill="auto"/>
            <w:vAlign w:val="center"/>
            <w:hideMark/>
          </w:tcPr>
          <w:p w:rsidR="00F40BA8" w:rsidRPr="00346912" w:rsidRDefault="00F40BA8" w:rsidP="006D50BF">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bl>
    <w:p w:rsidR="00173DC7" w:rsidRPr="00346912" w:rsidRDefault="00173DC7" w:rsidP="00BE0B80">
      <w:pPr>
        <w:spacing w:after="120" w:line="240" w:lineRule="auto"/>
        <w:rPr>
          <w:rFonts w:ascii="Georgia" w:hAnsi="Georgia"/>
          <w:sz w:val="24"/>
          <w:szCs w:val="24"/>
        </w:rPr>
      </w:pPr>
    </w:p>
    <w:tbl>
      <w:tblPr>
        <w:tblW w:w="8709" w:type="dxa"/>
        <w:jc w:val="center"/>
        <w:tblLayout w:type="fixed"/>
        <w:tblCellMar>
          <w:left w:w="0" w:type="dxa"/>
          <w:right w:w="0" w:type="dxa"/>
        </w:tblCellMar>
        <w:tblLook w:val="04A0" w:firstRow="1" w:lastRow="0" w:firstColumn="1" w:lastColumn="0" w:noHBand="0" w:noVBand="1"/>
      </w:tblPr>
      <w:tblGrid>
        <w:gridCol w:w="763"/>
        <w:gridCol w:w="3133"/>
        <w:gridCol w:w="1061"/>
        <w:gridCol w:w="1824"/>
        <w:gridCol w:w="1928"/>
      </w:tblGrid>
      <w:tr w:rsidR="004E31E4" w:rsidRPr="00346912" w:rsidTr="00512747">
        <w:trPr>
          <w:trHeight w:val="300"/>
          <w:jc w:val="center"/>
        </w:trPr>
        <w:tc>
          <w:tcPr>
            <w:tcW w:w="763"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512747">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lastRenderedPageBreak/>
              <w:t>13</w:t>
            </w:r>
          </w:p>
        </w:tc>
        <w:tc>
          <w:tcPr>
            <w:tcW w:w="3133"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соотношения суммы ликвидных активов сроком исполнения в ближайшие 30 календарных дней к сумме обязательств РНКО (Н15)     </w:t>
            </w:r>
          </w:p>
        </w:tc>
        <w:tc>
          <w:tcPr>
            <w:tcW w:w="1061"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r w:rsidR="004E31E4" w:rsidRPr="00346912" w:rsidTr="004E31E4">
        <w:trPr>
          <w:trHeight w:val="300"/>
          <w:jc w:val="center"/>
        </w:trPr>
        <w:tc>
          <w:tcPr>
            <w:tcW w:w="76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14 </w:t>
            </w:r>
          </w:p>
        </w:tc>
        <w:tc>
          <w:tcPr>
            <w:tcW w:w="313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ликвидности небанковской кредитной организации, имеющей право на осуществление переводов денежных средств без открытия банковских счетов и связанных с ними иных банковских операций (Н15.1) </w:t>
            </w:r>
          </w:p>
        </w:tc>
        <w:tc>
          <w:tcPr>
            <w:tcW w:w="1061"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r w:rsidR="004E31E4" w:rsidRPr="00346912" w:rsidTr="004E31E4">
        <w:trPr>
          <w:trHeight w:val="300"/>
          <w:jc w:val="center"/>
        </w:trPr>
        <w:tc>
          <w:tcPr>
            <w:tcW w:w="76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15 </w:t>
            </w:r>
          </w:p>
        </w:tc>
        <w:tc>
          <w:tcPr>
            <w:tcW w:w="313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максимальной совокупной величины кредитов клиентам - участникам расчетов на завершение расчетов (Н16)     </w:t>
            </w:r>
          </w:p>
        </w:tc>
        <w:tc>
          <w:tcPr>
            <w:tcW w:w="1061"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r w:rsidR="004E31E4" w:rsidRPr="00346912" w:rsidTr="004E31E4">
        <w:trPr>
          <w:trHeight w:val="300"/>
          <w:jc w:val="center"/>
        </w:trPr>
        <w:tc>
          <w:tcPr>
            <w:tcW w:w="76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16 </w:t>
            </w:r>
          </w:p>
        </w:tc>
        <w:tc>
          <w:tcPr>
            <w:tcW w:w="313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предоставления РНКО от своего имени и за свой счет кредитов заемщикам, кроме клиентов - участников расчетов (Н16.1)     </w:t>
            </w:r>
          </w:p>
        </w:tc>
        <w:tc>
          <w:tcPr>
            <w:tcW w:w="1061"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r w:rsidR="004E31E4" w:rsidRPr="00346912" w:rsidTr="004E31E4">
        <w:trPr>
          <w:trHeight w:val="300"/>
          <w:jc w:val="center"/>
        </w:trPr>
        <w:tc>
          <w:tcPr>
            <w:tcW w:w="76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center"/>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17 </w:t>
            </w:r>
          </w:p>
        </w:tc>
        <w:tc>
          <w:tcPr>
            <w:tcW w:w="3133"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Норматив минимального соотношения размера ипотечного покрытия и объема эмиссии облигаций с ипотечным покрытием (Н18)     </w:t>
            </w:r>
          </w:p>
        </w:tc>
        <w:tc>
          <w:tcPr>
            <w:tcW w:w="1061" w:type="dxa"/>
            <w:tcBorders>
              <w:top w:val="nil"/>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824"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c>
          <w:tcPr>
            <w:tcW w:w="1928" w:type="dxa"/>
            <w:tcBorders>
              <w:top w:val="single" w:sz="8" w:space="0" w:color="95B3D7"/>
              <w:left w:val="nil"/>
              <w:bottom w:val="single" w:sz="8" w:space="0" w:color="95B3D7"/>
              <w:right w:val="nil"/>
            </w:tcBorders>
            <w:shd w:val="clear" w:color="auto" w:fill="auto"/>
            <w:vAlign w:val="center"/>
            <w:hideMark/>
          </w:tcPr>
          <w:p w:rsidR="004E31E4" w:rsidRPr="00346912" w:rsidRDefault="004E31E4" w:rsidP="004E31E4">
            <w:pPr>
              <w:spacing w:after="0" w:line="240" w:lineRule="auto"/>
              <w:jc w:val="right"/>
              <w:rPr>
                <w:rFonts w:ascii="Georgia" w:eastAsia="Times New Roman" w:hAnsi="Georgia" w:cs="Calibri"/>
                <w:color w:val="1F497D"/>
                <w:sz w:val="19"/>
                <w:szCs w:val="19"/>
              </w:rPr>
            </w:pPr>
            <w:r w:rsidRPr="00346912">
              <w:rPr>
                <w:rFonts w:ascii="Georgia" w:eastAsia="Times New Roman" w:hAnsi="Georgia" w:cs="Calibri"/>
                <w:color w:val="1F497D"/>
                <w:sz w:val="19"/>
                <w:szCs w:val="19"/>
              </w:rPr>
              <w:t xml:space="preserve"> 0 </w:t>
            </w:r>
          </w:p>
        </w:tc>
      </w:tr>
    </w:tbl>
    <w:p w:rsidR="0018758C" w:rsidRPr="00346912" w:rsidRDefault="0018758C" w:rsidP="0018758C">
      <w:pPr>
        <w:spacing w:after="120" w:line="240" w:lineRule="auto"/>
        <w:jc w:val="both"/>
        <w:rPr>
          <w:rFonts w:ascii="Georgia" w:hAnsi="Georgia"/>
          <w:sz w:val="24"/>
          <w:szCs w:val="24"/>
        </w:rPr>
      </w:pPr>
    </w:p>
    <w:p w:rsidR="0018758C" w:rsidRPr="00D1459B" w:rsidRDefault="00214744" w:rsidP="00214744">
      <w:pPr>
        <w:spacing w:after="0" w:line="240" w:lineRule="auto"/>
        <w:rPr>
          <w:rFonts w:ascii="Georgia" w:hAnsi="Georgia"/>
          <w:b/>
          <w:i/>
          <w:color w:val="365F91" w:themeColor="accent1" w:themeShade="BF"/>
          <w:szCs w:val="24"/>
        </w:rPr>
      </w:pPr>
      <w:r w:rsidRPr="00214744">
        <w:rPr>
          <w:rFonts w:ascii="Georgia" w:hAnsi="Georgia"/>
          <w:b/>
          <w:i/>
          <w:color w:val="365F91" w:themeColor="accent1" w:themeShade="BF"/>
          <w:szCs w:val="24"/>
        </w:rPr>
        <w:t>Раздел 2. Информация о расчете показателя финансового рычага</w:t>
      </w:r>
    </w:p>
    <w:p w:rsidR="00214744" w:rsidRPr="00214744" w:rsidRDefault="00214744" w:rsidP="00214744">
      <w:pPr>
        <w:spacing w:after="0" w:line="240" w:lineRule="auto"/>
        <w:rPr>
          <w:rFonts w:ascii="Georgia" w:hAnsi="Georgia"/>
          <w:b/>
          <w:i/>
          <w:color w:val="365F91" w:themeColor="accent1" w:themeShade="BF"/>
          <w:szCs w:val="24"/>
        </w:rPr>
      </w:pPr>
      <w:r w:rsidRPr="00214744">
        <w:rPr>
          <w:rFonts w:ascii="Georgia" w:hAnsi="Georgia"/>
          <w:b/>
          <w:i/>
          <w:color w:val="365F91" w:themeColor="accent1" w:themeShade="BF"/>
          <w:szCs w:val="24"/>
        </w:rPr>
        <w:t>Подраздел 2.1. Расчет размера балансовых активов и внебалансовых требований под риском для расчета показателя финансового рычага</w:t>
      </w:r>
      <w:r w:rsidR="00506DD4">
        <w:rPr>
          <w:rFonts w:ascii="Georgia" w:hAnsi="Georgia"/>
          <w:b/>
          <w:i/>
          <w:color w:val="365F91" w:themeColor="accent1" w:themeShade="BF"/>
          <w:szCs w:val="24"/>
        </w:rPr>
        <w:t xml:space="preserve">                                                                                                                        </w:t>
      </w:r>
      <w:r w:rsidR="00506DD4" w:rsidRPr="005C50F3">
        <w:rPr>
          <w:rFonts w:ascii="Georgia" w:hAnsi="Georgia"/>
        </w:rPr>
        <w:t>тыс. руб.</w:t>
      </w:r>
    </w:p>
    <w:tbl>
      <w:tblPr>
        <w:tblW w:w="8505" w:type="dxa"/>
        <w:tblInd w:w="108" w:type="dxa"/>
        <w:tblLook w:val="04A0" w:firstRow="1" w:lastRow="0" w:firstColumn="1" w:lastColumn="0" w:noHBand="0" w:noVBand="1"/>
      </w:tblPr>
      <w:tblGrid>
        <w:gridCol w:w="962"/>
        <w:gridCol w:w="5701"/>
        <w:gridCol w:w="1842"/>
      </w:tblGrid>
      <w:tr w:rsidR="006D50BF" w:rsidRPr="006D50BF" w:rsidTr="00506DD4">
        <w:trPr>
          <w:trHeight w:val="572"/>
        </w:trPr>
        <w:tc>
          <w:tcPr>
            <w:tcW w:w="962" w:type="dxa"/>
            <w:vMerge w:val="restart"/>
            <w:tcBorders>
              <w:top w:val="nil"/>
              <w:left w:val="nil"/>
              <w:bottom w:val="single" w:sz="8" w:space="0" w:color="95B3D7"/>
              <w:right w:val="nil"/>
            </w:tcBorders>
            <w:shd w:val="clear" w:color="000000" w:fill="DCE6F1"/>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Номер строки</w:t>
            </w:r>
          </w:p>
        </w:tc>
        <w:tc>
          <w:tcPr>
            <w:tcW w:w="5701" w:type="dxa"/>
            <w:vMerge w:val="restart"/>
            <w:tcBorders>
              <w:top w:val="nil"/>
              <w:left w:val="nil"/>
              <w:bottom w:val="single" w:sz="8" w:space="0" w:color="95B3D7"/>
              <w:right w:val="nil"/>
            </w:tcBorders>
            <w:shd w:val="clear" w:color="000000" w:fill="DCE6F1"/>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Наименование показателя</w:t>
            </w:r>
          </w:p>
        </w:tc>
        <w:tc>
          <w:tcPr>
            <w:tcW w:w="1842" w:type="dxa"/>
            <w:vMerge w:val="restart"/>
            <w:tcBorders>
              <w:top w:val="nil"/>
              <w:left w:val="nil"/>
              <w:bottom w:val="single" w:sz="8" w:space="0" w:color="95B3D7"/>
              <w:right w:val="nil"/>
            </w:tcBorders>
            <w:shd w:val="clear" w:color="000000" w:fill="DCE6F1"/>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Сумма</w:t>
            </w:r>
          </w:p>
        </w:tc>
      </w:tr>
      <w:tr w:rsidR="006D50BF" w:rsidRPr="006D50BF" w:rsidTr="00506DD4">
        <w:trPr>
          <w:trHeight w:val="227"/>
        </w:trPr>
        <w:tc>
          <w:tcPr>
            <w:tcW w:w="962" w:type="dxa"/>
            <w:vMerge/>
            <w:tcBorders>
              <w:top w:val="nil"/>
              <w:left w:val="nil"/>
              <w:bottom w:val="single" w:sz="8" w:space="0" w:color="95B3D7"/>
              <w:right w:val="nil"/>
            </w:tcBorders>
            <w:vAlign w:val="center"/>
            <w:hideMark/>
          </w:tcPr>
          <w:p w:rsidR="006D50BF" w:rsidRPr="006D50BF" w:rsidRDefault="006D50BF" w:rsidP="006D50BF">
            <w:pPr>
              <w:spacing w:after="0" w:line="240" w:lineRule="auto"/>
              <w:rPr>
                <w:rFonts w:ascii="Georgia" w:eastAsia="Times New Roman" w:hAnsi="Georgia" w:cs="Calibri"/>
                <w:b/>
                <w:bCs/>
                <w:color w:val="1F497D"/>
                <w:sz w:val="20"/>
                <w:szCs w:val="20"/>
              </w:rPr>
            </w:pPr>
          </w:p>
        </w:tc>
        <w:tc>
          <w:tcPr>
            <w:tcW w:w="5701" w:type="dxa"/>
            <w:vMerge/>
            <w:tcBorders>
              <w:top w:val="nil"/>
              <w:left w:val="nil"/>
              <w:bottom w:val="single" w:sz="8" w:space="0" w:color="95B3D7"/>
              <w:right w:val="nil"/>
            </w:tcBorders>
            <w:vAlign w:val="center"/>
            <w:hideMark/>
          </w:tcPr>
          <w:p w:rsidR="006D50BF" w:rsidRPr="006D50BF" w:rsidRDefault="006D50BF" w:rsidP="006D50BF">
            <w:pPr>
              <w:spacing w:after="0" w:line="240" w:lineRule="auto"/>
              <w:rPr>
                <w:rFonts w:ascii="Georgia" w:eastAsia="Times New Roman" w:hAnsi="Georgia" w:cs="Calibri"/>
                <w:b/>
                <w:bCs/>
                <w:color w:val="1F497D"/>
                <w:sz w:val="20"/>
                <w:szCs w:val="20"/>
              </w:rPr>
            </w:pPr>
          </w:p>
        </w:tc>
        <w:tc>
          <w:tcPr>
            <w:tcW w:w="1842" w:type="dxa"/>
            <w:vMerge/>
            <w:tcBorders>
              <w:top w:val="nil"/>
              <w:left w:val="nil"/>
              <w:bottom w:val="single" w:sz="8" w:space="0" w:color="95B3D7"/>
              <w:right w:val="nil"/>
            </w:tcBorders>
            <w:vAlign w:val="center"/>
            <w:hideMark/>
          </w:tcPr>
          <w:p w:rsidR="006D50BF" w:rsidRPr="006D50BF" w:rsidRDefault="006D50BF" w:rsidP="006D50BF">
            <w:pPr>
              <w:spacing w:after="0" w:line="240" w:lineRule="auto"/>
              <w:rPr>
                <w:rFonts w:ascii="Georgia" w:eastAsia="Times New Roman" w:hAnsi="Georgia" w:cs="Calibri"/>
                <w:b/>
                <w:bCs/>
                <w:color w:val="1F497D"/>
                <w:sz w:val="20"/>
                <w:szCs w:val="20"/>
              </w:rPr>
            </w:pPr>
          </w:p>
        </w:tc>
      </w:tr>
      <w:tr w:rsidR="006D50BF" w:rsidRPr="006D50BF" w:rsidTr="00506DD4">
        <w:trPr>
          <w:trHeight w:val="200"/>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1</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2</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3</w:t>
            </w:r>
          </w:p>
        </w:tc>
      </w:tr>
      <w:tr w:rsidR="006D50BF" w:rsidRPr="006D50BF" w:rsidTr="00506DD4">
        <w:trPr>
          <w:trHeight w:val="597"/>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1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Размер активов в соответствии с бухгалтерским балансом (публикуемая форма), всего: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29 668 157   </w:t>
            </w:r>
          </w:p>
        </w:tc>
      </w:tr>
      <w:tr w:rsidR="006D50BF" w:rsidRPr="006D50BF" w:rsidTr="00506DD4">
        <w:trPr>
          <w:trHeight w:val="1254"/>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2 </w:t>
            </w:r>
          </w:p>
        </w:tc>
        <w:tc>
          <w:tcPr>
            <w:tcW w:w="5701" w:type="dxa"/>
            <w:tcBorders>
              <w:top w:val="nil"/>
              <w:left w:val="nil"/>
              <w:bottom w:val="single" w:sz="8" w:space="0" w:color="95B3D7"/>
              <w:right w:val="nil"/>
            </w:tcBorders>
            <w:shd w:val="clear" w:color="auto" w:fill="auto"/>
            <w:noWrap/>
            <w:hideMark/>
          </w:tcPr>
          <w:p w:rsidR="006D50BF" w:rsidRPr="006D50BF" w:rsidRDefault="00214744"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Поправка в части вложений в капитал кредитных, финансовых, страховых или иных организаций, отчетные данные которых включаются в консолидированную финансовую отчетность, но не включаются в расчет величины собственных средств (капитала), обязательных нормативов и размеров (лимитов) открытых валютных позиций банковской группы</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не применимо для отчетности кредитной организации как юридического лица </w:t>
            </w:r>
          </w:p>
        </w:tc>
      </w:tr>
      <w:tr w:rsidR="006D50BF" w:rsidRPr="006D50BF" w:rsidTr="00506DD4">
        <w:trPr>
          <w:trHeight w:val="314"/>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3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Поправка в части фидуциарных активов, отражаемых в соответствии с правилами бухгалтерского учета, но не включаемых в расчет показателя финансового рычага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     </w:t>
            </w:r>
          </w:p>
        </w:tc>
      </w:tr>
      <w:tr w:rsidR="006D50BF" w:rsidRPr="006D50BF" w:rsidTr="00506DD4">
        <w:trPr>
          <w:trHeight w:val="487"/>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4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Поправка в части производных финансовых инструментов (ПФИ)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     </w:t>
            </w:r>
          </w:p>
        </w:tc>
      </w:tr>
      <w:tr w:rsidR="006D50BF" w:rsidRPr="006D50BF" w:rsidTr="00506DD4">
        <w:trPr>
          <w:trHeight w:val="399"/>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5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Поправка в части операций кредитования ценными бумагами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38 418   </w:t>
            </w:r>
          </w:p>
        </w:tc>
      </w:tr>
      <w:tr w:rsidR="006D50BF" w:rsidRPr="006D50BF" w:rsidTr="00506DD4">
        <w:trPr>
          <w:trHeight w:val="689"/>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6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Поправка в части приведения к кредитному эквиваленту условных обязательств кредитного характера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1 246 248   </w:t>
            </w:r>
          </w:p>
        </w:tc>
      </w:tr>
      <w:tr w:rsidR="006D50BF" w:rsidRPr="006D50BF" w:rsidTr="00506DD4">
        <w:trPr>
          <w:trHeight w:val="314"/>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7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Прочие поправки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378 169   </w:t>
            </w:r>
          </w:p>
        </w:tc>
      </w:tr>
      <w:tr w:rsidR="006D50BF" w:rsidRPr="006D50BF" w:rsidTr="00506DD4">
        <w:trPr>
          <w:trHeight w:val="774"/>
        </w:trPr>
        <w:tc>
          <w:tcPr>
            <w:tcW w:w="96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8 </w:t>
            </w:r>
          </w:p>
        </w:tc>
        <w:tc>
          <w:tcPr>
            <w:tcW w:w="5701"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Величина балансовых активов и внебалансовых требований под риском с учетом поправок для расчета показателя финансового рычага, итого: </w:t>
            </w:r>
          </w:p>
        </w:tc>
        <w:tc>
          <w:tcPr>
            <w:tcW w:w="1842" w:type="dxa"/>
            <w:tcBorders>
              <w:top w:val="nil"/>
              <w:left w:val="nil"/>
              <w:bottom w:val="single" w:sz="8" w:space="0" w:color="95B3D7"/>
              <w:right w:val="nil"/>
            </w:tcBorders>
            <w:shd w:val="clear" w:color="auto" w:fill="auto"/>
            <w:vAlign w:val="center"/>
            <w:hideMark/>
          </w:tcPr>
          <w:p w:rsidR="006D50BF" w:rsidRPr="006D50BF" w:rsidRDefault="006D50BF" w:rsidP="006D50BF">
            <w:pPr>
              <w:spacing w:after="0" w:line="240" w:lineRule="auto"/>
              <w:jc w:val="center"/>
              <w:rPr>
                <w:rFonts w:ascii="Georgia" w:eastAsia="Times New Roman" w:hAnsi="Georgia" w:cs="Calibri"/>
                <w:color w:val="1F497D"/>
                <w:sz w:val="18"/>
                <w:szCs w:val="18"/>
              </w:rPr>
            </w:pPr>
            <w:r w:rsidRPr="006D50BF">
              <w:rPr>
                <w:rFonts w:ascii="Georgia" w:eastAsia="Times New Roman" w:hAnsi="Georgia" w:cs="Calibri"/>
                <w:color w:val="1F497D"/>
                <w:sz w:val="18"/>
                <w:szCs w:val="18"/>
              </w:rPr>
              <w:t xml:space="preserve"> 30 574 654   </w:t>
            </w:r>
          </w:p>
        </w:tc>
      </w:tr>
    </w:tbl>
    <w:p w:rsidR="006D50BF" w:rsidRDefault="006D50BF" w:rsidP="0018758C">
      <w:pPr>
        <w:spacing w:after="120" w:line="240" w:lineRule="auto"/>
        <w:jc w:val="both"/>
        <w:rPr>
          <w:rFonts w:ascii="Georgia" w:hAnsi="Georgia"/>
          <w:sz w:val="24"/>
          <w:szCs w:val="24"/>
          <w:highlight w:val="yellow"/>
          <w:lang w:val="en-US"/>
        </w:rPr>
      </w:pPr>
    </w:p>
    <w:p w:rsidR="00506DD4" w:rsidRDefault="00506DD4" w:rsidP="009C6393">
      <w:pPr>
        <w:spacing w:after="0" w:line="240" w:lineRule="auto"/>
        <w:rPr>
          <w:rFonts w:ascii="Georgia" w:hAnsi="Georgia"/>
          <w:b/>
          <w:i/>
          <w:color w:val="365F91" w:themeColor="accent1" w:themeShade="BF"/>
          <w:szCs w:val="24"/>
        </w:rPr>
      </w:pPr>
    </w:p>
    <w:p w:rsidR="00425E4F" w:rsidRDefault="00425E4F" w:rsidP="009C6393">
      <w:pPr>
        <w:spacing w:after="0" w:line="240" w:lineRule="auto"/>
        <w:rPr>
          <w:rFonts w:ascii="Georgia" w:hAnsi="Georgia"/>
          <w:b/>
          <w:i/>
          <w:color w:val="365F91" w:themeColor="accent1" w:themeShade="BF"/>
          <w:szCs w:val="24"/>
        </w:rPr>
      </w:pPr>
    </w:p>
    <w:p w:rsidR="00425E4F" w:rsidRDefault="00425E4F" w:rsidP="009C6393">
      <w:pPr>
        <w:spacing w:after="0" w:line="240" w:lineRule="auto"/>
        <w:rPr>
          <w:rFonts w:ascii="Georgia" w:hAnsi="Georgia"/>
          <w:b/>
          <w:i/>
          <w:color w:val="365F91" w:themeColor="accent1" w:themeShade="BF"/>
          <w:szCs w:val="24"/>
        </w:rPr>
      </w:pPr>
    </w:p>
    <w:p w:rsidR="00214744" w:rsidRPr="009C6393" w:rsidRDefault="009C6393" w:rsidP="009C6393">
      <w:pPr>
        <w:spacing w:after="0" w:line="240" w:lineRule="auto"/>
        <w:rPr>
          <w:rFonts w:ascii="Georgia" w:hAnsi="Georgia"/>
          <w:b/>
          <w:i/>
          <w:color w:val="365F91" w:themeColor="accent1" w:themeShade="BF"/>
          <w:szCs w:val="24"/>
        </w:rPr>
      </w:pPr>
      <w:r w:rsidRPr="009C6393">
        <w:rPr>
          <w:rFonts w:ascii="Georgia" w:hAnsi="Georgia"/>
          <w:b/>
          <w:i/>
          <w:color w:val="365F91" w:themeColor="accent1" w:themeShade="BF"/>
          <w:szCs w:val="24"/>
        </w:rPr>
        <w:t>Подраздел 2.2. Расчет показателя финансового рычага</w:t>
      </w:r>
      <w:r w:rsidR="00E72CA3">
        <w:rPr>
          <w:rFonts w:ascii="Georgia" w:hAnsi="Georgia"/>
          <w:b/>
          <w:i/>
          <w:color w:val="365F91" w:themeColor="accent1" w:themeShade="BF"/>
          <w:szCs w:val="24"/>
        </w:rPr>
        <w:t xml:space="preserve">           </w:t>
      </w:r>
      <w:r w:rsidR="00506DD4">
        <w:rPr>
          <w:rFonts w:ascii="Georgia" w:hAnsi="Georgia"/>
          <w:b/>
          <w:i/>
          <w:color w:val="365F91" w:themeColor="accent1" w:themeShade="BF"/>
          <w:szCs w:val="24"/>
        </w:rPr>
        <w:t xml:space="preserve">  </w:t>
      </w:r>
      <w:r w:rsidR="00E72CA3" w:rsidRPr="005C50F3">
        <w:rPr>
          <w:rFonts w:ascii="Georgia" w:hAnsi="Georgia"/>
        </w:rPr>
        <w:t>тыс. руб.</w:t>
      </w:r>
    </w:p>
    <w:tbl>
      <w:tblPr>
        <w:tblW w:w="8505" w:type="dxa"/>
        <w:tblInd w:w="108" w:type="dxa"/>
        <w:tblLayout w:type="fixed"/>
        <w:tblLook w:val="04A0" w:firstRow="1" w:lastRow="0" w:firstColumn="1" w:lastColumn="0" w:noHBand="0" w:noVBand="1"/>
      </w:tblPr>
      <w:tblGrid>
        <w:gridCol w:w="993"/>
        <w:gridCol w:w="5705"/>
        <w:gridCol w:w="1807"/>
      </w:tblGrid>
      <w:tr w:rsidR="009C6393" w:rsidRPr="00214744" w:rsidTr="00E72CA3">
        <w:trPr>
          <w:trHeight w:val="548"/>
        </w:trPr>
        <w:tc>
          <w:tcPr>
            <w:tcW w:w="993" w:type="dxa"/>
            <w:tcBorders>
              <w:top w:val="nil"/>
              <w:left w:val="nil"/>
              <w:bottom w:val="nil"/>
              <w:right w:val="nil"/>
            </w:tcBorders>
            <w:shd w:val="clear" w:color="000000" w:fill="DCE6F1"/>
            <w:vAlign w:val="bottom"/>
          </w:tcPr>
          <w:p w:rsidR="009C6393" w:rsidRPr="006D50BF" w:rsidRDefault="009C6393" w:rsidP="00775AFC">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Номер строки</w:t>
            </w:r>
          </w:p>
        </w:tc>
        <w:tc>
          <w:tcPr>
            <w:tcW w:w="5705" w:type="dxa"/>
            <w:tcBorders>
              <w:top w:val="nil"/>
              <w:left w:val="nil"/>
              <w:bottom w:val="nil"/>
              <w:right w:val="nil"/>
            </w:tcBorders>
            <w:shd w:val="clear" w:color="000000" w:fill="DCE6F1"/>
            <w:vAlign w:val="bottom"/>
          </w:tcPr>
          <w:p w:rsidR="009C6393" w:rsidRPr="006D50BF" w:rsidRDefault="009C6393" w:rsidP="00775AFC">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Наименование показателя</w:t>
            </w:r>
          </w:p>
        </w:tc>
        <w:tc>
          <w:tcPr>
            <w:tcW w:w="1807" w:type="dxa"/>
            <w:tcBorders>
              <w:top w:val="nil"/>
              <w:left w:val="nil"/>
              <w:bottom w:val="nil"/>
              <w:right w:val="nil"/>
            </w:tcBorders>
            <w:shd w:val="clear" w:color="000000" w:fill="DCE6F1"/>
            <w:vAlign w:val="bottom"/>
          </w:tcPr>
          <w:p w:rsidR="009C6393" w:rsidRPr="006D50BF" w:rsidRDefault="009C6393" w:rsidP="00775AFC">
            <w:pPr>
              <w:spacing w:after="0" w:line="240" w:lineRule="auto"/>
              <w:jc w:val="center"/>
              <w:rPr>
                <w:rFonts w:ascii="Georgia" w:eastAsia="Times New Roman" w:hAnsi="Georgia" w:cs="Calibri"/>
                <w:b/>
                <w:bCs/>
                <w:color w:val="1F497D"/>
                <w:sz w:val="20"/>
                <w:szCs w:val="20"/>
              </w:rPr>
            </w:pPr>
            <w:r w:rsidRPr="006D50BF">
              <w:rPr>
                <w:rFonts w:ascii="Georgia" w:eastAsia="Times New Roman" w:hAnsi="Georgia" w:cs="Calibri"/>
                <w:b/>
                <w:bCs/>
                <w:color w:val="1F497D"/>
                <w:sz w:val="20"/>
                <w:szCs w:val="20"/>
              </w:rPr>
              <w:t>Сумма</w:t>
            </w:r>
          </w:p>
        </w:tc>
      </w:tr>
      <w:tr w:rsidR="009C6393" w:rsidRPr="00214744" w:rsidTr="00E72CA3">
        <w:trPr>
          <w:trHeight w:val="79"/>
        </w:trPr>
        <w:tc>
          <w:tcPr>
            <w:tcW w:w="993" w:type="dxa"/>
            <w:tcBorders>
              <w:top w:val="nil"/>
              <w:left w:val="nil"/>
              <w:bottom w:val="single" w:sz="8" w:space="0" w:color="95B3D7"/>
              <w:right w:val="nil"/>
            </w:tcBorders>
            <w:shd w:val="clear" w:color="000000" w:fill="DCE6F1"/>
            <w:vAlign w:val="center"/>
          </w:tcPr>
          <w:p w:rsidR="009C6393" w:rsidRPr="006D50BF" w:rsidRDefault="009C6393" w:rsidP="00AA099A">
            <w:pPr>
              <w:spacing w:after="0" w:line="240" w:lineRule="auto"/>
              <w:rPr>
                <w:rFonts w:ascii="Georgia" w:eastAsia="Times New Roman" w:hAnsi="Georgia" w:cs="Calibri"/>
                <w:b/>
                <w:bCs/>
                <w:color w:val="1F497D"/>
                <w:sz w:val="20"/>
                <w:szCs w:val="20"/>
              </w:rPr>
            </w:pPr>
          </w:p>
        </w:tc>
        <w:tc>
          <w:tcPr>
            <w:tcW w:w="5705" w:type="dxa"/>
            <w:tcBorders>
              <w:top w:val="nil"/>
              <w:left w:val="nil"/>
              <w:bottom w:val="single" w:sz="8" w:space="0" w:color="95B3D7"/>
              <w:right w:val="nil"/>
            </w:tcBorders>
            <w:shd w:val="clear" w:color="000000" w:fill="DCE6F1"/>
            <w:vAlign w:val="center"/>
          </w:tcPr>
          <w:p w:rsidR="009C6393" w:rsidRPr="006D50BF" w:rsidRDefault="009C6393" w:rsidP="00AA099A">
            <w:pPr>
              <w:spacing w:after="0" w:line="240" w:lineRule="auto"/>
              <w:rPr>
                <w:rFonts w:ascii="Georgia" w:eastAsia="Times New Roman" w:hAnsi="Georgia" w:cs="Calibri"/>
                <w:b/>
                <w:bCs/>
                <w:color w:val="1F497D"/>
                <w:sz w:val="20"/>
                <w:szCs w:val="20"/>
              </w:rPr>
            </w:pPr>
          </w:p>
        </w:tc>
        <w:tc>
          <w:tcPr>
            <w:tcW w:w="1807" w:type="dxa"/>
            <w:tcBorders>
              <w:top w:val="nil"/>
              <w:left w:val="nil"/>
              <w:bottom w:val="single" w:sz="8" w:space="0" w:color="95B3D7"/>
              <w:right w:val="nil"/>
            </w:tcBorders>
            <w:shd w:val="clear" w:color="000000" w:fill="DCE6F1"/>
            <w:vAlign w:val="center"/>
          </w:tcPr>
          <w:p w:rsidR="009C6393" w:rsidRPr="006D50BF" w:rsidRDefault="009C6393" w:rsidP="00AA099A">
            <w:pPr>
              <w:spacing w:after="0" w:line="240" w:lineRule="auto"/>
              <w:rPr>
                <w:rFonts w:ascii="Georgia" w:eastAsia="Times New Roman" w:hAnsi="Georgia" w:cs="Calibri"/>
                <w:b/>
                <w:bCs/>
                <w:color w:val="1F497D"/>
                <w:sz w:val="20"/>
                <w:szCs w:val="20"/>
              </w:rPr>
            </w:pPr>
          </w:p>
        </w:tc>
      </w:tr>
      <w:tr w:rsidR="009C6393" w:rsidRPr="00214744" w:rsidTr="00E72CA3">
        <w:trPr>
          <w:trHeight w:val="147"/>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b/>
                <w:bCs/>
                <w:color w:val="1F497D"/>
                <w:sz w:val="20"/>
                <w:szCs w:val="20"/>
              </w:rPr>
            </w:pPr>
            <w:r w:rsidRPr="00214744">
              <w:rPr>
                <w:rFonts w:ascii="Georgia" w:eastAsia="Times New Roman" w:hAnsi="Georgia" w:cs="Calibri"/>
                <w:b/>
                <w:bCs/>
                <w:color w:val="1F497D"/>
                <w:sz w:val="20"/>
                <w:szCs w:val="20"/>
              </w:rPr>
              <w:t>1</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b/>
                <w:bCs/>
                <w:color w:val="1F497D"/>
                <w:sz w:val="20"/>
                <w:szCs w:val="20"/>
              </w:rPr>
            </w:pPr>
            <w:r w:rsidRPr="00214744">
              <w:rPr>
                <w:rFonts w:ascii="Georgia" w:eastAsia="Times New Roman" w:hAnsi="Georgia" w:cs="Calibri"/>
                <w:b/>
                <w:bCs/>
                <w:color w:val="1F497D"/>
                <w:sz w:val="20"/>
                <w:szCs w:val="20"/>
              </w:rPr>
              <w:t>2</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b/>
                <w:bCs/>
                <w:color w:val="1F497D"/>
                <w:sz w:val="20"/>
                <w:szCs w:val="20"/>
              </w:rPr>
            </w:pPr>
            <w:r w:rsidRPr="00214744">
              <w:rPr>
                <w:rFonts w:ascii="Georgia" w:eastAsia="Times New Roman" w:hAnsi="Georgia" w:cs="Calibri"/>
                <w:b/>
                <w:bCs/>
                <w:color w:val="1F497D"/>
                <w:sz w:val="20"/>
                <w:szCs w:val="20"/>
              </w:rPr>
              <w:t>3</w:t>
            </w:r>
          </w:p>
        </w:tc>
      </w:tr>
      <w:tr w:rsidR="00E72CA3" w:rsidRPr="00214744" w:rsidTr="00E72CA3">
        <w:trPr>
          <w:trHeight w:val="181"/>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Риск по балансовым активам</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 </w:t>
            </w:r>
          </w:p>
        </w:tc>
      </w:tr>
      <w:tr w:rsidR="009C6393" w:rsidRPr="00214744" w:rsidTr="00C83AE1">
        <w:trPr>
          <w:trHeight w:val="265"/>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балансовых активов,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28 326 731</w:t>
            </w:r>
          </w:p>
        </w:tc>
      </w:tr>
      <w:tr w:rsidR="009C6393" w:rsidRPr="00214744" w:rsidTr="00C83AE1">
        <w:trPr>
          <w:trHeight w:val="484"/>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2</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Уменьшающая поправка на сумму показателей, принимаемых в уменьшение величины источников основного капитала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3   </w:t>
            </w:r>
          </w:p>
        </w:tc>
      </w:tr>
      <w:tr w:rsidR="009C6393" w:rsidRPr="00214744" w:rsidTr="00C83AE1">
        <w:trPr>
          <w:trHeight w:val="265"/>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3</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балансовых активов под риском с учетом поправки (разность строк 1 и 2), итого: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28 326 728   </w:t>
            </w:r>
          </w:p>
        </w:tc>
      </w:tr>
      <w:tr w:rsidR="00E72CA3" w:rsidRPr="00214744" w:rsidTr="00C83AE1">
        <w:trPr>
          <w:trHeight w:val="252"/>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Риск по операциям с ПФИ</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w:t>
            </w:r>
          </w:p>
        </w:tc>
      </w:tr>
      <w:tr w:rsidR="009C6393" w:rsidRPr="00214744" w:rsidTr="00C83AE1">
        <w:trPr>
          <w:trHeight w:val="265"/>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4 </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Текущий кредитный риск по операциям с ПФИ </w:t>
            </w:r>
            <w:r w:rsidRPr="00214744">
              <w:rPr>
                <w:rFonts w:ascii="Georgia" w:eastAsia="Times New Roman" w:hAnsi="Georgia" w:cs="Calibri"/>
                <w:color w:val="1F497D"/>
                <w:sz w:val="18"/>
                <w:szCs w:val="18"/>
              </w:rPr>
              <w:br/>
              <w:t xml:space="preserve">(за вычетом полученной вариационной маржи),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5 </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both"/>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Потенциальный кредитный риск на контрагента по операциям с ПФИ,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910"/>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6 </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Поправка на размер номинальной суммы предоставленного обеспечения по операциям с ПФИ, подлежащей списанию с баланса в соответствии с правилами бухгалтерского учета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в соответствии с российскими правилами бухгалтерского учета неприменимо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7</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Уменьшающая поправка на сумму перечисленной вариационной маржи в установленных случаях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8</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Поправка в части требований банка - участника клиринга к центральному контрагенту по исполнению сделок клиентов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9</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Поправка для учета кредитного риска в отношении базисного (базового) актива по выпущенным кредитным ПФИ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10</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Уменьшающая поправка в части выпущенных кредитных ПФИ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11</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9C6393">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риска по ПФИ с учетом поправок (сумма строк 4, 5, 9 </w:t>
            </w:r>
            <w:r w:rsidRPr="009C6393">
              <w:rPr>
                <w:rFonts w:ascii="Georgia" w:eastAsia="Times New Roman" w:hAnsi="Georgia" w:cs="Calibri"/>
                <w:color w:val="1F497D"/>
                <w:sz w:val="18"/>
                <w:szCs w:val="18"/>
              </w:rPr>
              <w:t xml:space="preserve">    </w:t>
            </w:r>
            <w:r w:rsidRPr="00214744">
              <w:rPr>
                <w:rFonts w:ascii="Georgia" w:eastAsia="Times New Roman" w:hAnsi="Georgia" w:cs="Calibri"/>
                <w:color w:val="1F497D"/>
                <w:sz w:val="18"/>
                <w:szCs w:val="18"/>
              </w:rPr>
              <w:t xml:space="preserve">за вычетом строк 7, 8, 10), итого: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E72CA3" w:rsidRPr="00214744" w:rsidTr="00C83AE1">
        <w:trPr>
          <w:trHeight w:val="252"/>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Риск по операциям кредитования ценными бумагами</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12</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Требования по операциям кредитования ценными бумагами (без учета неттинга),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963 259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13</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Поправка на величину неттинга денежной части (требований и обязательств) по операциям кредитования ценными бумагами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14</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кредитного риска на контрагента по операциям кредитования ценными бумагами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38 418   </w:t>
            </w:r>
          </w:p>
        </w:tc>
      </w:tr>
      <w:tr w:rsidR="009C6393" w:rsidRPr="00214744" w:rsidTr="00C83AE1">
        <w:trPr>
          <w:trHeight w:val="437"/>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15</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риска по гарантийным операциям кредитования ценными бумагами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16</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9"/>
                <w:szCs w:val="19"/>
              </w:rPr>
              <w:t>Требования по операциям кредитования ценными бумагами с учетом поправок</w:t>
            </w:r>
            <w:r w:rsidRPr="00214744">
              <w:rPr>
                <w:rFonts w:ascii="Georgia" w:eastAsia="Times New Roman" w:hAnsi="Georgia" w:cs="Calibri"/>
                <w:color w:val="1F497D"/>
                <w:sz w:val="19"/>
                <w:szCs w:val="19"/>
              </w:rPr>
              <w:br/>
              <w:t>(сумма строк 12 , 14, 15 за вычетом строки 13), итого:</w:t>
            </w:r>
            <w:r w:rsidRPr="00214744">
              <w:rPr>
                <w:rFonts w:ascii="Georgia" w:eastAsia="Times New Roman" w:hAnsi="Georgia" w:cs="Calibri"/>
                <w:color w:val="1F497D"/>
                <w:sz w:val="18"/>
                <w:szCs w:val="18"/>
              </w:rPr>
              <w:t xml:space="preserve">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1 001 677   </w:t>
            </w:r>
          </w:p>
        </w:tc>
      </w:tr>
      <w:tr w:rsidR="00E72CA3" w:rsidRPr="00214744" w:rsidTr="00C83AE1">
        <w:trPr>
          <w:trHeight w:val="252"/>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Риск по условным обязательствам кредитного характера (КРВ′)</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17</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Номинальная величина риска по условным обязательствам кредитного характера (КРВ′),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1 363 290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18</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Поправка в части применения коэффициентов кредитного эквивалента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117 042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19</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риска по условным обязательствам кредитного характера (КРВ′) с учетом поправок (разность строк 17 и 18), итого: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1 246 248   </w:t>
            </w:r>
          </w:p>
        </w:tc>
      </w:tr>
      <w:tr w:rsidR="00E72CA3" w:rsidRPr="00214744" w:rsidTr="00C83AE1">
        <w:trPr>
          <w:trHeight w:val="225"/>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Капитал и риски</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w:t>
            </w:r>
          </w:p>
        </w:tc>
      </w:tr>
      <w:tr w:rsidR="009C6393" w:rsidRPr="00214744" w:rsidTr="00C83AE1">
        <w:trPr>
          <w:trHeight w:val="179"/>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20</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Основной капитал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3 048 140   </w:t>
            </w:r>
          </w:p>
        </w:tc>
      </w:tr>
      <w:tr w:rsidR="009C6393" w:rsidRPr="00214744" w:rsidTr="00C83AE1">
        <w:trPr>
          <w:trHeight w:val="252"/>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21</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Величина балансовых активов и внебалансовых требований под риском для расчета показателя финансового рычага (сумма строк 3, 11, 16, 19), всего: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30 574 654   </w:t>
            </w:r>
          </w:p>
        </w:tc>
      </w:tr>
      <w:tr w:rsidR="00E72CA3" w:rsidRPr="00214744" w:rsidTr="00C83AE1">
        <w:trPr>
          <w:trHeight w:val="252"/>
        </w:trPr>
        <w:tc>
          <w:tcPr>
            <w:tcW w:w="6698" w:type="dxa"/>
            <w:gridSpan w:val="2"/>
            <w:tcBorders>
              <w:top w:val="single" w:sz="8" w:space="0" w:color="95B3D7"/>
              <w:left w:val="nil"/>
              <w:bottom w:val="single" w:sz="8" w:space="0" w:color="95B3D7"/>
              <w:right w:val="nil"/>
            </w:tcBorders>
            <w:shd w:val="clear" w:color="auto" w:fill="auto"/>
            <w:vAlign w:val="center"/>
            <w:hideMark/>
          </w:tcPr>
          <w:p w:rsidR="009C6393" w:rsidRPr="00214744" w:rsidRDefault="009C6393" w:rsidP="009C6393">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Показатель финансового рычага</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p>
        </w:tc>
      </w:tr>
      <w:tr w:rsidR="009C6393" w:rsidRPr="00214744" w:rsidTr="00C83AE1">
        <w:trPr>
          <w:trHeight w:val="118"/>
        </w:trPr>
        <w:tc>
          <w:tcPr>
            <w:tcW w:w="993"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jc w:val="center"/>
              <w:rPr>
                <w:rFonts w:ascii="Georgia" w:eastAsia="Times New Roman" w:hAnsi="Georgia" w:cs="Calibri"/>
                <w:color w:val="1F497D"/>
                <w:sz w:val="18"/>
                <w:szCs w:val="18"/>
              </w:rPr>
            </w:pPr>
            <w:r w:rsidRPr="00214744">
              <w:rPr>
                <w:rFonts w:ascii="Georgia" w:eastAsia="Times New Roman" w:hAnsi="Georgia" w:cs="Calibri"/>
                <w:color w:val="1F497D"/>
                <w:sz w:val="18"/>
                <w:szCs w:val="18"/>
              </w:rPr>
              <w:t>22</w:t>
            </w:r>
          </w:p>
        </w:tc>
        <w:tc>
          <w:tcPr>
            <w:tcW w:w="5705" w:type="dxa"/>
            <w:tcBorders>
              <w:top w:val="nil"/>
              <w:left w:val="nil"/>
              <w:bottom w:val="single" w:sz="8" w:space="0" w:color="95B3D7"/>
              <w:right w:val="nil"/>
            </w:tcBorders>
            <w:shd w:val="clear" w:color="auto" w:fill="auto"/>
            <w:vAlign w:val="center"/>
            <w:hideMark/>
          </w:tcPr>
          <w:p w:rsidR="009C6393" w:rsidRPr="00214744" w:rsidRDefault="009C6393" w:rsidP="00214744">
            <w:pPr>
              <w:spacing w:after="0" w:line="240" w:lineRule="auto"/>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Показатель финансового рычага по Базелю III (строка 20 / строка 21), процент </w:t>
            </w:r>
          </w:p>
        </w:tc>
        <w:tc>
          <w:tcPr>
            <w:tcW w:w="1807" w:type="dxa"/>
            <w:tcBorders>
              <w:top w:val="nil"/>
              <w:left w:val="nil"/>
              <w:bottom w:val="single" w:sz="8" w:space="0" w:color="95B3D7"/>
              <w:right w:val="nil"/>
            </w:tcBorders>
            <w:shd w:val="clear" w:color="auto" w:fill="auto"/>
            <w:vAlign w:val="center"/>
            <w:hideMark/>
          </w:tcPr>
          <w:p w:rsidR="009C6393" w:rsidRPr="00214744" w:rsidRDefault="009C6393" w:rsidP="00C83AE1">
            <w:pPr>
              <w:spacing w:after="0" w:line="240" w:lineRule="auto"/>
              <w:jc w:val="right"/>
              <w:rPr>
                <w:rFonts w:ascii="Georgia" w:eastAsia="Times New Roman" w:hAnsi="Georgia" w:cs="Calibri"/>
                <w:color w:val="1F497D"/>
                <w:sz w:val="18"/>
                <w:szCs w:val="18"/>
              </w:rPr>
            </w:pPr>
            <w:r w:rsidRPr="00214744">
              <w:rPr>
                <w:rFonts w:ascii="Georgia" w:eastAsia="Times New Roman" w:hAnsi="Georgia" w:cs="Calibri"/>
                <w:color w:val="1F497D"/>
                <w:sz w:val="18"/>
                <w:szCs w:val="18"/>
              </w:rPr>
              <w:t xml:space="preserve">                   10   </w:t>
            </w:r>
          </w:p>
        </w:tc>
      </w:tr>
    </w:tbl>
    <w:p w:rsidR="009C6393" w:rsidRPr="00506DD4" w:rsidRDefault="009C6393" w:rsidP="00BE0B80">
      <w:pPr>
        <w:pStyle w:val="2014"/>
        <w:jc w:val="left"/>
        <w:rPr>
          <w:lang w:val="en-US"/>
        </w:rPr>
      </w:pPr>
    </w:p>
    <w:p w:rsidR="0018758C" w:rsidRPr="00506DD4" w:rsidRDefault="0018758C" w:rsidP="00BE0B80">
      <w:pPr>
        <w:pStyle w:val="2014"/>
        <w:jc w:val="left"/>
      </w:pPr>
      <w:r w:rsidRPr="00506DD4">
        <w:t xml:space="preserve">Председатель Правления </w:t>
      </w:r>
      <w:r w:rsidRPr="00506DD4">
        <w:tab/>
      </w:r>
      <w:r w:rsidRPr="00506DD4">
        <w:tab/>
      </w:r>
      <w:r w:rsidRPr="00506DD4">
        <w:tab/>
      </w:r>
      <w:r w:rsidRPr="00506DD4">
        <w:tab/>
      </w:r>
      <w:r w:rsidRPr="00506DD4">
        <w:tab/>
        <w:t xml:space="preserve">М.Р. Зарипов Главный бухгалтер </w:t>
      </w:r>
      <w:r w:rsidRPr="00506DD4">
        <w:tab/>
      </w:r>
      <w:r w:rsidRPr="00506DD4">
        <w:tab/>
      </w:r>
      <w:r w:rsidRPr="00506DD4">
        <w:tab/>
      </w:r>
      <w:r w:rsidRPr="00506DD4">
        <w:tab/>
      </w:r>
      <w:r w:rsidRPr="00506DD4">
        <w:tab/>
      </w:r>
      <w:r w:rsidRPr="00506DD4">
        <w:tab/>
        <w:t>Н.Р. Молева</w:t>
      </w:r>
    </w:p>
    <w:p w:rsidR="004E31E4" w:rsidRPr="00EE317B" w:rsidRDefault="004E31E4" w:rsidP="004E31E4">
      <w:pPr>
        <w:pStyle w:val="1"/>
        <w:spacing w:before="0" w:line="240" w:lineRule="auto"/>
        <w:rPr>
          <w:noProof/>
          <w:color w:val="00B050"/>
          <w:sz w:val="20"/>
          <w:szCs w:val="20"/>
          <w:highlight w:val="yellow"/>
        </w:rPr>
      </w:pPr>
    </w:p>
    <w:p w:rsidR="004E31E4" w:rsidRPr="00506DD4" w:rsidRDefault="0074206F" w:rsidP="004E31E4">
      <w:pPr>
        <w:pStyle w:val="1"/>
        <w:spacing w:before="0" w:line="240" w:lineRule="auto"/>
        <w:rPr>
          <w:noProof/>
          <w:color w:val="00B050"/>
          <w:sz w:val="38"/>
          <w:szCs w:val="38"/>
        </w:rPr>
      </w:pPr>
      <w:bookmarkStart w:id="65" w:name="_Toc448145492"/>
      <w:r w:rsidRPr="00506DD4">
        <w:rPr>
          <w:noProof/>
          <w:color w:val="00B050"/>
          <w:sz w:val="38"/>
          <w:szCs w:val="38"/>
        </w:rPr>
        <w:t>Отчет о движении денежных средств</w:t>
      </w:r>
      <w:bookmarkEnd w:id="65"/>
    </w:p>
    <w:p w:rsidR="004E31E4" w:rsidRPr="00506DD4" w:rsidRDefault="004E31E4" w:rsidP="004E31E4">
      <w:pPr>
        <w:pStyle w:val="1"/>
        <w:spacing w:before="0" w:line="240" w:lineRule="auto"/>
        <w:rPr>
          <w:noProof/>
          <w:color w:val="00B050"/>
          <w:sz w:val="20"/>
          <w:szCs w:val="20"/>
        </w:rPr>
      </w:pPr>
    </w:p>
    <w:p w:rsidR="004E31E4" w:rsidRPr="00506DD4" w:rsidRDefault="004E31E4" w:rsidP="004E31E4">
      <w:pPr>
        <w:spacing w:after="0" w:line="240" w:lineRule="auto"/>
        <w:rPr>
          <w:rFonts w:ascii="Georgia" w:hAnsi="Georgia"/>
          <w:b/>
          <w:i/>
          <w:color w:val="365F91" w:themeColor="accent1" w:themeShade="BF"/>
          <w:sz w:val="28"/>
          <w:szCs w:val="24"/>
        </w:rPr>
      </w:pPr>
      <w:r w:rsidRPr="00506DD4">
        <w:rPr>
          <w:rFonts w:ascii="Georgia" w:hAnsi="Georgia"/>
          <w:b/>
          <w:i/>
          <w:color w:val="365F91" w:themeColor="accent1" w:themeShade="BF"/>
          <w:sz w:val="28"/>
          <w:szCs w:val="24"/>
        </w:rPr>
        <w:t>(публикуемая форма)</w:t>
      </w:r>
    </w:p>
    <w:p w:rsidR="004E31E4" w:rsidRPr="00506DD4" w:rsidRDefault="004E31E4" w:rsidP="004E31E4">
      <w:pPr>
        <w:spacing w:after="0" w:line="240" w:lineRule="auto"/>
        <w:rPr>
          <w:rFonts w:ascii="Georgia" w:hAnsi="Georgia"/>
          <w:b/>
          <w:i/>
          <w:color w:val="365F91" w:themeColor="accent1" w:themeShade="BF"/>
          <w:sz w:val="28"/>
          <w:szCs w:val="24"/>
        </w:rPr>
      </w:pPr>
      <w:r w:rsidRPr="00506DD4">
        <w:rPr>
          <w:rFonts w:ascii="Georgia" w:hAnsi="Georgia"/>
          <w:b/>
          <w:i/>
          <w:color w:val="365F91" w:themeColor="accent1" w:themeShade="BF"/>
          <w:sz w:val="28"/>
          <w:szCs w:val="24"/>
        </w:rPr>
        <w:t>на 1 января 201</w:t>
      </w:r>
      <w:r w:rsidR="009C6393" w:rsidRPr="00506DD4">
        <w:rPr>
          <w:rFonts w:ascii="Georgia" w:hAnsi="Georgia"/>
          <w:b/>
          <w:i/>
          <w:color w:val="365F91" w:themeColor="accent1" w:themeShade="BF"/>
          <w:sz w:val="28"/>
          <w:szCs w:val="24"/>
          <w:lang w:val="en-US"/>
        </w:rPr>
        <w:t>6</w:t>
      </w:r>
      <w:r w:rsidRPr="00506DD4">
        <w:rPr>
          <w:rFonts w:ascii="Georgia" w:hAnsi="Georgia"/>
          <w:b/>
          <w:i/>
          <w:color w:val="365F91" w:themeColor="accent1" w:themeShade="BF"/>
          <w:sz w:val="28"/>
          <w:szCs w:val="24"/>
        </w:rPr>
        <w:t xml:space="preserve"> года</w:t>
      </w:r>
    </w:p>
    <w:p w:rsidR="004E31E4" w:rsidRPr="00506DD4" w:rsidRDefault="004E31E4" w:rsidP="0074206F">
      <w:pPr>
        <w:spacing w:after="80" w:line="240" w:lineRule="auto"/>
        <w:jc w:val="both"/>
        <w:rPr>
          <w:rFonts w:ascii="Georgia" w:hAnsi="Georgia"/>
          <w:sz w:val="24"/>
          <w:szCs w:val="24"/>
        </w:rPr>
      </w:pPr>
    </w:p>
    <w:p w:rsidR="004E31E4" w:rsidRPr="00506DD4" w:rsidRDefault="004E31E4" w:rsidP="0074206F">
      <w:pPr>
        <w:spacing w:after="80" w:line="240" w:lineRule="auto"/>
        <w:jc w:val="both"/>
        <w:rPr>
          <w:rFonts w:ascii="Georgia" w:hAnsi="Georgia"/>
          <w:sz w:val="24"/>
          <w:szCs w:val="24"/>
        </w:rPr>
      </w:pPr>
    </w:p>
    <w:tbl>
      <w:tblPr>
        <w:tblW w:w="9039" w:type="dxa"/>
        <w:tblLook w:val="04A0" w:firstRow="1" w:lastRow="0" w:firstColumn="1" w:lastColumn="0" w:noHBand="0" w:noVBand="1"/>
      </w:tblPr>
      <w:tblGrid>
        <w:gridCol w:w="5150"/>
        <w:gridCol w:w="236"/>
        <w:gridCol w:w="3653"/>
      </w:tblGrid>
      <w:tr w:rsidR="004E31E4" w:rsidRPr="00506DD4" w:rsidTr="00BE0B80">
        <w:trPr>
          <w:trHeight w:val="255"/>
        </w:trPr>
        <w:tc>
          <w:tcPr>
            <w:tcW w:w="5150" w:type="dxa"/>
            <w:tcBorders>
              <w:top w:val="nil"/>
              <w:left w:val="nil"/>
              <w:bottom w:val="nil"/>
              <w:right w:val="nil"/>
            </w:tcBorders>
            <w:vAlign w:val="center"/>
          </w:tcPr>
          <w:p w:rsidR="004E31E4" w:rsidRPr="00506DD4" w:rsidRDefault="004E31E4" w:rsidP="004E31E4">
            <w:pPr>
              <w:spacing w:after="0" w:line="240" w:lineRule="auto"/>
              <w:rPr>
                <w:rFonts w:ascii="Georgia" w:eastAsia="Times New Roman" w:hAnsi="Georgia" w:cs="Arial CYR"/>
                <w:szCs w:val="20"/>
              </w:rPr>
            </w:pPr>
            <w:r w:rsidRPr="00506DD4">
              <w:rPr>
                <w:rFonts w:ascii="Georgia" w:eastAsia="Times New Roman" w:hAnsi="Georgia" w:cs="Arial CYR"/>
                <w:szCs w:val="20"/>
              </w:rPr>
              <w:t xml:space="preserve">Кредитной организации </w:t>
            </w:r>
          </w:p>
          <w:p w:rsidR="004E31E4" w:rsidRPr="00506DD4" w:rsidRDefault="009C6393" w:rsidP="004E31E4">
            <w:pPr>
              <w:spacing w:after="0" w:line="240" w:lineRule="auto"/>
              <w:rPr>
                <w:rFonts w:ascii="Georgia" w:eastAsia="Times New Roman" w:hAnsi="Georgia" w:cs="Arial CYR"/>
                <w:szCs w:val="20"/>
              </w:rPr>
            </w:pPr>
            <w:r w:rsidRPr="00506DD4">
              <w:rPr>
                <w:rFonts w:ascii="Georgia" w:eastAsia="Times New Roman" w:hAnsi="Georgia" w:cs="Arial CYR"/>
                <w:szCs w:val="20"/>
              </w:rPr>
              <w:t>П</w:t>
            </w:r>
            <w:r w:rsidR="004E31E4" w:rsidRPr="00506DD4">
              <w:rPr>
                <w:rFonts w:ascii="Georgia" w:eastAsia="Times New Roman" w:hAnsi="Georgia" w:cs="Arial CYR"/>
                <w:szCs w:val="20"/>
              </w:rPr>
              <w:t>АО «ИнтехБанк»</w:t>
            </w:r>
          </w:p>
        </w:tc>
        <w:tc>
          <w:tcPr>
            <w:tcW w:w="3889" w:type="dxa"/>
            <w:gridSpan w:val="2"/>
            <w:tcBorders>
              <w:top w:val="nil"/>
              <w:left w:val="nil"/>
              <w:bottom w:val="nil"/>
              <w:right w:val="nil"/>
            </w:tcBorders>
            <w:shd w:val="clear" w:color="auto" w:fill="auto"/>
            <w:noWrap/>
            <w:vAlign w:val="bottom"/>
            <w:hideMark/>
          </w:tcPr>
          <w:p w:rsidR="004E31E4" w:rsidRPr="00506DD4" w:rsidRDefault="004E31E4" w:rsidP="0074206F">
            <w:pPr>
              <w:spacing w:after="0" w:line="240" w:lineRule="auto"/>
              <w:jc w:val="right"/>
              <w:rPr>
                <w:rFonts w:ascii="Georgia" w:eastAsia="Times New Roman" w:hAnsi="Georgia" w:cs="Arial CYR"/>
                <w:szCs w:val="20"/>
              </w:rPr>
            </w:pPr>
            <w:r w:rsidRPr="00506DD4">
              <w:rPr>
                <w:rFonts w:ascii="Georgia" w:eastAsia="Times New Roman" w:hAnsi="Georgia" w:cs="Arial CYR"/>
                <w:szCs w:val="20"/>
              </w:rPr>
              <w:t>Код формы по ОКУД 040981</w:t>
            </w:r>
            <w:r w:rsidR="0074206F" w:rsidRPr="00506DD4">
              <w:rPr>
                <w:rFonts w:ascii="Georgia" w:eastAsia="Times New Roman" w:hAnsi="Georgia" w:cs="Arial CYR"/>
                <w:szCs w:val="20"/>
              </w:rPr>
              <w:t>4</w:t>
            </w:r>
          </w:p>
        </w:tc>
      </w:tr>
      <w:tr w:rsidR="004E31E4" w:rsidRPr="00506DD4" w:rsidTr="00BE0B80">
        <w:trPr>
          <w:trHeight w:val="255"/>
        </w:trPr>
        <w:tc>
          <w:tcPr>
            <w:tcW w:w="5150" w:type="dxa"/>
            <w:tcBorders>
              <w:top w:val="nil"/>
              <w:left w:val="nil"/>
              <w:bottom w:val="nil"/>
              <w:right w:val="nil"/>
            </w:tcBorders>
            <w:vAlign w:val="center"/>
          </w:tcPr>
          <w:p w:rsidR="004E31E4" w:rsidRPr="00506DD4" w:rsidRDefault="004E31E4" w:rsidP="004E31E4">
            <w:pPr>
              <w:spacing w:after="0" w:line="240" w:lineRule="auto"/>
              <w:rPr>
                <w:rFonts w:ascii="Georgia" w:eastAsia="Times New Roman" w:hAnsi="Georgia" w:cs="Arial CYR"/>
                <w:szCs w:val="20"/>
              </w:rPr>
            </w:pPr>
            <w:r w:rsidRPr="00506DD4">
              <w:rPr>
                <w:rFonts w:ascii="Georgia" w:eastAsia="Times New Roman" w:hAnsi="Georgia" w:cs="Arial CYR"/>
                <w:szCs w:val="20"/>
              </w:rPr>
              <w:t xml:space="preserve">Почтовый адрес: </w:t>
            </w:r>
          </w:p>
        </w:tc>
        <w:tc>
          <w:tcPr>
            <w:tcW w:w="3889" w:type="dxa"/>
            <w:gridSpan w:val="2"/>
            <w:tcBorders>
              <w:top w:val="nil"/>
              <w:left w:val="nil"/>
              <w:bottom w:val="nil"/>
              <w:right w:val="nil"/>
            </w:tcBorders>
            <w:shd w:val="clear" w:color="auto" w:fill="auto"/>
            <w:noWrap/>
            <w:vAlign w:val="center"/>
            <w:hideMark/>
          </w:tcPr>
          <w:p w:rsidR="004E31E4" w:rsidRPr="00506DD4" w:rsidRDefault="004E31E4" w:rsidP="004E31E4">
            <w:pPr>
              <w:spacing w:after="0" w:line="240" w:lineRule="auto"/>
              <w:jc w:val="right"/>
              <w:rPr>
                <w:rFonts w:ascii="Georgia" w:eastAsia="Times New Roman" w:hAnsi="Georgia" w:cs="Arial CYR"/>
                <w:szCs w:val="20"/>
              </w:rPr>
            </w:pPr>
            <w:r w:rsidRPr="00506DD4">
              <w:rPr>
                <w:rFonts w:ascii="Georgia" w:eastAsia="Times New Roman" w:hAnsi="Georgia" w:cs="Arial CYR"/>
                <w:szCs w:val="20"/>
              </w:rPr>
              <w:t>Квартальная (Годовая)</w:t>
            </w:r>
          </w:p>
        </w:tc>
      </w:tr>
      <w:tr w:rsidR="004E31E4" w:rsidRPr="00EE317B" w:rsidTr="00BE0B80">
        <w:trPr>
          <w:trHeight w:val="255"/>
        </w:trPr>
        <w:tc>
          <w:tcPr>
            <w:tcW w:w="5150" w:type="dxa"/>
            <w:tcBorders>
              <w:top w:val="nil"/>
              <w:left w:val="nil"/>
              <w:bottom w:val="nil"/>
              <w:right w:val="nil"/>
            </w:tcBorders>
            <w:vAlign w:val="center"/>
          </w:tcPr>
          <w:p w:rsidR="004E31E4" w:rsidRPr="00506DD4" w:rsidRDefault="004E31E4" w:rsidP="004E31E4">
            <w:pPr>
              <w:spacing w:after="0" w:line="240" w:lineRule="auto"/>
              <w:rPr>
                <w:rFonts w:ascii="Georgia" w:eastAsia="Times New Roman" w:hAnsi="Georgia" w:cs="Arial CYR"/>
                <w:szCs w:val="20"/>
              </w:rPr>
            </w:pPr>
            <w:r w:rsidRPr="00506DD4">
              <w:rPr>
                <w:rFonts w:ascii="Georgia" w:eastAsia="Times New Roman" w:hAnsi="Georgia" w:cs="Arial CYR"/>
                <w:szCs w:val="20"/>
              </w:rPr>
              <w:t>г. Казань, ул. Шигабутдина Марджани, д. 24</w:t>
            </w:r>
          </w:p>
        </w:tc>
        <w:tc>
          <w:tcPr>
            <w:tcW w:w="236" w:type="dxa"/>
            <w:tcBorders>
              <w:top w:val="nil"/>
              <w:left w:val="nil"/>
              <w:bottom w:val="nil"/>
              <w:right w:val="nil"/>
            </w:tcBorders>
            <w:shd w:val="clear" w:color="auto" w:fill="auto"/>
            <w:noWrap/>
            <w:vAlign w:val="center"/>
            <w:hideMark/>
          </w:tcPr>
          <w:p w:rsidR="004E31E4" w:rsidRPr="00506DD4" w:rsidRDefault="004E31E4" w:rsidP="004E31E4">
            <w:pPr>
              <w:spacing w:after="0" w:line="240" w:lineRule="auto"/>
              <w:jc w:val="right"/>
              <w:rPr>
                <w:rFonts w:ascii="Georgia" w:eastAsia="Times New Roman" w:hAnsi="Georgia" w:cs="Arial CYR"/>
                <w:szCs w:val="20"/>
              </w:rPr>
            </w:pPr>
          </w:p>
        </w:tc>
        <w:tc>
          <w:tcPr>
            <w:tcW w:w="3653" w:type="dxa"/>
            <w:tcBorders>
              <w:top w:val="nil"/>
              <w:left w:val="nil"/>
              <w:bottom w:val="nil"/>
              <w:right w:val="nil"/>
            </w:tcBorders>
            <w:shd w:val="clear" w:color="auto" w:fill="auto"/>
            <w:noWrap/>
            <w:vAlign w:val="center"/>
            <w:hideMark/>
          </w:tcPr>
          <w:p w:rsidR="004E31E4" w:rsidRPr="00506DD4" w:rsidRDefault="0074206F" w:rsidP="004E31E4">
            <w:pPr>
              <w:spacing w:after="0" w:line="240" w:lineRule="auto"/>
              <w:jc w:val="right"/>
              <w:rPr>
                <w:rFonts w:ascii="Georgia" w:eastAsia="Times New Roman" w:hAnsi="Georgia" w:cs="Arial CYR"/>
                <w:szCs w:val="20"/>
              </w:rPr>
            </w:pPr>
            <w:r w:rsidRPr="00506DD4">
              <w:rPr>
                <w:rFonts w:ascii="Georgia" w:eastAsia="Times New Roman" w:hAnsi="Georgia" w:cs="Arial CYR"/>
                <w:szCs w:val="20"/>
              </w:rPr>
              <w:t>тыс. руб.</w:t>
            </w:r>
          </w:p>
        </w:tc>
      </w:tr>
    </w:tbl>
    <w:p w:rsidR="004E31E4" w:rsidRDefault="004E31E4" w:rsidP="00173DC7">
      <w:pPr>
        <w:spacing w:after="60" w:line="240" w:lineRule="auto"/>
        <w:jc w:val="both"/>
        <w:rPr>
          <w:rFonts w:ascii="Georgia" w:hAnsi="Georgia"/>
          <w:sz w:val="24"/>
          <w:szCs w:val="24"/>
          <w:highlight w:val="yellow"/>
        </w:rPr>
      </w:pPr>
    </w:p>
    <w:tbl>
      <w:tblPr>
        <w:tblW w:w="8996" w:type="dxa"/>
        <w:tblInd w:w="108" w:type="dxa"/>
        <w:tblLayout w:type="fixed"/>
        <w:tblLook w:val="04A0" w:firstRow="1" w:lastRow="0" w:firstColumn="1" w:lastColumn="0" w:noHBand="0" w:noVBand="1"/>
      </w:tblPr>
      <w:tblGrid>
        <w:gridCol w:w="1016"/>
        <w:gridCol w:w="4351"/>
        <w:gridCol w:w="1451"/>
        <w:gridCol w:w="2178"/>
      </w:tblGrid>
      <w:tr w:rsidR="00775AFC" w:rsidRPr="00775AFC" w:rsidTr="003A49E4">
        <w:trPr>
          <w:trHeight w:val="1246"/>
        </w:trPr>
        <w:tc>
          <w:tcPr>
            <w:tcW w:w="1016" w:type="dxa"/>
            <w:tcBorders>
              <w:top w:val="nil"/>
              <w:left w:val="nil"/>
              <w:bottom w:val="single" w:sz="8" w:space="0" w:color="95B3D7"/>
              <w:right w:val="nil"/>
            </w:tcBorders>
            <w:shd w:val="clear" w:color="000000" w:fill="DCE6F1"/>
            <w:vAlign w:val="center"/>
            <w:hideMark/>
          </w:tcPr>
          <w:p w:rsidR="00775AFC" w:rsidRPr="00775AFC" w:rsidRDefault="00775AFC" w:rsidP="00775AFC">
            <w:pPr>
              <w:spacing w:after="0" w:line="240" w:lineRule="auto"/>
              <w:jc w:val="center"/>
              <w:rPr>
                <w:rFonts w:ascii="Georgia" w:eastAsia="Times New Roman" w:hAnsi="Georgia" w:cs="Calibri"/>
                <w:b/>
                <w:bCs/>
                <w:color w:val="1F497D"/>
                <w:sz w:val="19"/>
                <w:szCs w:val="19"/>
              </w:rPr>
            </w:pPr>
            <w:r w:rsidRPr="00775AFC">
              <w:rPr>
                <w:rFonts w:ascii="Georgia" w:eastAsia="Times New Roman" w:hAnsi="Georgia" w:cs="Calibri"/>
                <w:b/>
                <w:bCs/>
                <w:color w:val="1F497D"/>
                <w:sz w:val="19"/>
                <w:szCs w:val="19"/>
              </w:rPr>
              <w:t>Номер строки</w:t>
            </w:r>
          </w:p>
        </w:tc>
        <w:tc>
          <w:tcPr>
            <w:tcW w:w="4351" w:type="dxa"/>
            <w:tcBorders>
              <w:top w:val="nil"/>
              <w:left w:val="nil"/>
              <w:bottom w:val="single" w:sz="8" w:space="0" w:color="95B3D7"/>
              <w:right w:val="nil"/>
            </w:tcBorders>
            <w:shd w:val="clear" w:color="000000" w:fill="DCE6F1"/>
            <w:vAlign w:val="center"/>
            <w:hideMark/>
          </w:tcPr>
          <w:p w:rsidR="00775AFC" w:rsidRPr="00775AFC" w:rsidRDefault="00775AFC" w:rsidP="00775AFC">
            <w:pPr>
              <w:spacing w:after="0" w:line="240" w:lineRule="auto"/>
              <w:jc w:val="center"/>
              <w:rPr>
                <w:rFonts w:ascii="Georgia" w:eastAsia="Times New Roman" w:hAnsi="Georgia" w:cs="Calibri"/>
                <w:b/>
                <w:bCs/>
                <w:color w:val="1F497D"/>
                <w:sz w:val="19"/>
                <w:szCs w:val="19"/>
              </w:rPr>
            </w:pPr>
            <w:r w:rsidRPr="00775AFC">
              <w:rPr>
                <w:rFonts w:ascii="Georgia" w:eastAsia="Times New Roman" w:hAnsi="Georgia" w:cs="Calibri"/>
                <w:b/>
                <w:bCs/>
                <w:color w:val="1F497D"/>
                <w:sz w:val="19"/>
                <w:szCs w:val="19"/>
              </w:rPr>
              <w:t>Наименование статей</w:t>
            </w:r>
          </w:p>
        </w:tc>
        <w:tc>
          <w:tcPr>
            <w:tcW w:w="1451" w:type="dxa"/>
            <w:tcBorders>
              <w:top w:val="nil"/>
              <w:left w:val="nil"/>
              <w:bottom w:val="single" w:sz="8" w:space="0" w:color="95B3D7"/>
              <w:right w:val="nil"/>
            </w:tcBorders>
            <w:shd w:val="clear" w:color="000000" w:fill="DCE6F1"/>
            <w:vAlign w:val="center"/>
            <w:hideMark/>
          </w:tcPr>
          <w:p w:rsidR="00775AFC" w:rsidRPr="00775AFC" w:rsidRDefault="00775AFC" w:rsidP="00775AFC">
            <w:pPr>
              <w:spacing w:after="0" w:line="240" w:lineRule="auto"/>
              <w:jc w:val="center"/>
              <w:rPr>
                <w:rFonts w:ascii="Georgia" w:eastAsia="Times New Roman" w:hAnsi="Georgia" w:cs="Calibri"/>
                <w:b/>
                <w:bCs/>
                <w:color w:val="1F497D"/>
                <w:sz w:val="19"/>
                <w:szCs w:val="19"/>
              </w:rPr>
            </w:pPr>
            <w:r w:rsidRPr="00775AFC">
              <w:rPr>
                <w:rFonts w:ascii="Georgia" w:eastAsia="Times New Roman" w:hAnsi="Georgia" w:cs="Calibri"/>
                <w:b/>
                <w:bCs/>
                <w:color w:val="1F497D"/>
                <w:sz w:val="19"/>
                <w:szCs w:val="19"/>
              </w:rPr>
              <w:t>Денежные потоки за отчетный период</w:t>
            </w:r>
          </w:p>
        </w:tc>
        <w:tc>
          <w:tcPr>
            <w:tcW w:w="2178" w:type="dxa"/>
            <w:tcBorders>
              <w:top w:val="nil"/>
              <w:left w:val="nil"/>
              <w:bottom w:val="single" w:sz="8" w:space="0" w:color="95B3D7"/>
              <w:right w:val="nil"/>
            </w:tcBorders>
            <w:shd w:val="clear" w:color="000000" w:fill="DCE6F1"/>
            <w:vAlign w:val="center"/>
            <w:hideMark/>
          </w:tcPr>
          <w:p w:rsidR="00775AFC" w:rsidRPr="00775AFC" w:rsidRDefault="00775AFC" w:rsidP="00775AFC">
            <w:pPr>
              <w:spacing w:after="0" w:line="240" w:lineRule="auto"/>
              <w:jc w:val="center"/>
              <w:rPr>
                <w:rFonts w:ascii="Georgia" w:eastAsia="Times New Roman" w:hAnsi="Georgia" w:cs="Calibri"/>
                <w:b/>
                <w:bCs/>
                <w:color w:val="1F497D"/>
                <w:sz w:val="19"/>
                <w:szCs w:val="19"/>
              </w:rPr>
            </w:pPr>
            <w:r w:rsidRPr="00775AFC">
              <w:rPr>
                <w:rFonts w:ascii="Georgia" w:eastAsia="Times New Roman" w:hAnsi="Georgia" w:cs="Calibri"/>
                <w:b/>
                <w:bCs/>
                <w:color w:val="1F497D"/>
                <w:sz w:val="19"/>
                <w:szCs w:val="19"/>
              </w:rPr>
              <w:t>Денежные потоки за соответствующий период прошлого года</w:t>
            </w:r>
          </w:p>
        </w:tc>
      </w:tr>
      <w:tr w:rsidR="00775AFC" w:rsidRPr="00775AFC" w:rsidTr="00506DD4">
        <w:trPr>
          <w:trHeight w:val="262"/>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b/>
                <w:bCs/>
                <w:color w:val="1F497D"/>
                <w:sz w:val="20"/>
                <w:szCs w:val="20"/>
              </w:rPr>
            </w:pPr>
            <w:r w:rsidRPr="00775AFC">
              <w:rPr>
                <w:rFonts w:ascii="Georgia" w:eastAsia="Times New Roman" w:hAnsi="Georgia" w:cs="Calibri"/>
                <w:b/>
                <w:bCs/>
                <w:color w:val="1F497D"/>
                <w:sz w:val="20"/>
                <w:szCs w:val="20"/>
              </w:rPr>
              <w:t>1</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b/>
                <w:bCs/>
                <w:color w:val="1F497D"/>
                <w:sz w:val="20"/>
                <w:szCs w:val="20"/>
              </w:rPr>
            </w:pPr>
            <w:r w:rsidRPr="00775AFC">
              <w:rPr>
                <w:rFonts w:ascii="Georgia" w:eastAsia="Times New Roman" w:hAnsi="Georgia" w:cs="Calibri"/>
                <w:b/>
                <w:bCs/>
                <w:color w:val="1F497D"/>
                <w:sz w:val="20"/>
                <w:szCs w:val="20"/>
              </w:rPr>
              <w:t>2</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b/>
                <w:bCs/>
                <w:color w:val="1F497D"/>
                <w:sz w:val="20"/>
                <w:szCs w:val="20"/>
              </w:rPr>
            </w:pPr>
            <w:r w:rsidRPr="00775AFC">
              <w:rPr>
                <w:rFonts w:ascii="Georgia" w:eastAsia="Times New Roman" w:hAnsi="Georgia" w:cs="Calibri"/>
                <w:b/>
                <w:bCs/>
                <w:color w:val="1F497D"/>
                <w:sz w:val="20"/>
                <w:szCs w:val="20"/>
              </w:rPr>
              <w:t>4</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b/>
                <w:bCs/>
                <w:color w:val="1F497D"/>
                <w:sz w:val="20"/>
                <w:szCs w:val="20"/>
              </w:rPr>
            </w:pPr>
            <w:r w:rsidRPr="00775AFC">
              <w:rPr>
                <w:rFonts w:ascii="Georgia" w:eastAsia="Times New Roman" w:hAnsi="Georgia" w:cs="Calibri"/>
                <w:b/>
                <w:bCs/>
                <w:color w:val="1F497D"/>
                <w:sz w:val="20"/>
                <w:szCs w:val="20"/>
              </w:rPr>
              <w:t>5</w:t>
            </w:r>
          </w:p>
        </w:tc>
      </w:tr>
      <w:tr w:rsidR="00775AFC" w:rsidRPr="00775AFC" w:rsidTr="00506DD4">
        <w:trPr>
          <w:trHeight w:val="295"/>
        </w:trPr>
        <w:tc>
          <w:tcPr>
            <w:tcW w:w="1016" w:type="dxa"/>
            <w:tcBorders>
              <w:top w:val="nil"/>
              <w:left w:val="nil"/>
              <w:bottom w:val="nil"/>
              <w:right w:val="nil"/>
            </w:tcBorders>
            <w:shd w:val="clear" w:color="000000" w:fill="366092"/>
            <w:vAlign w:val="center"/>
            <w:hideMark/>
          </w:tcPr>
          <w:p w:rsidR="00775AFC" w:rsidRPr="00775AFC" w:rsidRDefault="00775AFC" w:rsidP="00775AFC">
            <w:pPr>
              <w:spacing w:after="0" w:line="240" w:lineRule="auto"/>
              <w:jc w:val="center"/>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1</w:t>
            </w:r>
          </w:p>
        </w:tc>
        <w:tc>
          <w:tcPr>
            <w:tcW w:w="7980" w:type="dxa"/>
            <w:gridSpan w:val="3"/>
            <w:tcBorders>
              <w:top w:val="single" w:sz="8" w:space="0" w:color="95B3D7"/>
              <w:left w:val="nil"/>
              <w:bottom w:val="nil"/>
              <w:right w:val="nil"/>
            </w:tcBorders>
            <w:shd w:val="clear" w:color="000000" w:fill="366092"/>
            <w:vAlign w:val="center"/>
            <w:hideMark/>
          </w:tcPr>
          <w:p w:rsidR="00775AFC" w:rsidRPr="00775AFC" w:rsidRDefault="00775AFC" w:rsidP="00775AFC">
            <w:pPr>
              <w:spacing w:after="0" w:line="240" w:lineRule="auto"/>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 xml:space="preserve">Чистые денежные средства, полученные от (использованные в) операционной деятельности    </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Денежные средства, полученные от (использованные в) операционной деятельности до изменений в операционных активах и обязательствах, всего, в том числе: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307 205</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-87 524</w:t>
            </w:r>
          </w:p>
        </w:tc>
      </w:tr>
      <w:tr w:rsidR="00775AFC" w:rsidRPr="00775AFC" w:rsidTr="00C83AE1">
        <w:trPr>
          <w:trHeight w:val="231"/>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проценты полученные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861</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700</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2 141 650</w:t>
            </w:r>
          </w:p>
        </w:tc>
      </w:tr>
      <w:tr w:rsidR="00775AFC" w:rsidRPr="00775AFC" w:rsidTr="00C83AE1">
        <w:trPr>
          <w:trHeight w:val="136"/>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проценты уплаченные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167</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902</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-1 887 640</w:t>
            </w:r>
          </w:p>
        </w:tc>
      </w:tr>
      <w:tr w:rsidR="00775AFC" w:rsidRPr="00775AFC" w:rsidTr="00C83AE1">
        <w:trPr>
          <w:trHeight w:val="182"/>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1.1.3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комиссии полученные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289</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369</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144 670</w:t>
            </w:r>
          </w:p>
        </w:tc>
      </w:tr>
      <w:tr w:rsidR="00775AFC" w:rsidRPr="00775AFC" w:rsidTr="00C83AE1">
        <w:trPr>
          <w:trHeight w:val="214"/>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1.1.4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комиссии уплаченные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-29</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383</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-38 881</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1.1.5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доходы за вычетом расходов по операциям с финансовыми активами, оцениваемыми по справедливой стоимости через прибыль или убыток, имеющимися в наличии для продажи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604</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3 380</w:t>
            </w:r>
          </w:p>
        </w:tc>
      </w:tr>
      <w:tr w:rsidR="00775AFC" w:rsidRPr="00775AFC" w:rsidTr="00C83AE1">
        <w:trPr>
          <w:trHeight w:val="584"/>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1.1.6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доходы за вычетом расходов по операциям с ценными бумагами, удерживаемыми до погашения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1.1.7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доходы за вычетом расходов по операциям с иностранной валютой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779</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30 277</w:t>
            </w:r>
          </w:p>
        </w:tc>
      </w:tr>
      <w:tr w:rsidR="00775AFC" w:rsidRPr="00775AFC" w:rsidTr="00C83AE1">
        <w:trPr>
          <w:trHeight w:val="168"/>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1.1.8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прочие операционные доходы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69</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806</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195 417</w:t>
            </w:r>
          </w:p>
        </w:tc>
      </w:tr>
      <w:tr w:rsidR="00775AFC" w:rsidRPr="00775AFC" w:rsidTr="00C83AE1">
        <w:trPr>
          <w:trHeight w:val="237"/>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1.1.9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операционные расходы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-652</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251</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-651 949</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1.1.10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расход (возмещение) по налогам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-71</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517</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-24 448</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Прирост (снижение) чистых денежных средств от операционных активов и обязательств, всего, в том числе: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258</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566</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629 634</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обязательным резервам на счетах Банка России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438</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-27 677</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вложениям в ценные бумаги, оцениваемым по справедливой стоимости через прибыль или убыток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-95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111</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3 743</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1.2.3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ссудной задолженности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633</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475</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-6 310 444</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1.2.4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прочим активам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21</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921</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-235 612</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1.2.5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кредитам, депозитам и прочим средствам Банка России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062</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689</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2 930 920</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1.2.6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средствам других кредитных организаций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-275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746</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580 242</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1.2.7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средствам клиентов, не являющихся кредитными организациями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647</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132</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3 125 547</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lastRenderedPageBreak/>
              <w:t xml:space="preserve"> 1.2.8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финансовым обязательствам, оцениваемым по справедливой стоимости через прибыль или убыток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-689</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682</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689 682</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1.2.9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выпущенным долговым обязательствам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293</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684</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-186 749</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1.2.10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чистый прирост (снижение) по прочим обязательствам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7</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094</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59 983</w:t>
            </w:r>
          </w:p>
        </w:tc>
      </w:tr>
      <w:tr w:rsidR="00775AFC" w:rsidRPr="00775AFC" w:rsidTr="00C83AE1">
        <w:trPr>
          <w:trHeight w:val="258"/>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1.3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Итого по разделу 1 (ст.1.1 + ст.1.2)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565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771</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542 110</w:t>
            </w:r>
          </w:p>
        </w:tc>
      </w:tr>
      <w:tr w:rsidR="00775AFC" w:rsidRPr="00775AFC" w:rsidTr="00C83AE1">
        <w:trPr>
          <w:trHeight w:val="295"/>
        </w:trPr>
        <w:tc>
          <w:tcPr>
            <w:tcW w:w="1016" w:type="dxa"/>
            <w:tcBorders>
              <w:top w:val="nil"/>
              <w:left w:val="nil"/>
              <w:bottom w:val="nil"/>
              <w:right w:val="nil"/>
            </w:tcBorders>
            <w:shd w:val="clear" w:color="000000" w:fill="366092"/>
            <w:vAlign w:val="center"/>
            <w:hideMark/>
          </w:tcPr>
          <w:p w:rsidR="00775AFC" w:rsidRPr="00775AFC" w:rsidRDefault="00775AFC" w:rsidP="00775AFC">
            <w:pPr>
              <w:spacing w:after="0" w:line="240" w:lineRule="auto"/>
              <w:jc w:val="center"/>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2</w:t>
            </w:r>
          </w:p>
        </w:tc>
        <w:tc>
          <w:tcPr>
            <w:tcW w:w="7980" w:type="dxa"/>
            <w:gridSpan w:val="3"/>
            <w:tcBorders>
              <w:top w:val="single" w:sz="8" w:space="0" w:color="95B3D7"/>
              <w:left w:val="nil"/>
              <w:bottom w:val="nil"/>
              <w:right w:val="nil"/>
            </w:tcBorders>
            <w:shd w:val="clear" w:color="000000" w:fill="366092"/>
            <w:vAlign w:val="center"/>
            <w:hideMark/>
          </w:tcPr>
          <w:p w:rsidR="00775AFC" w:rsidRPr="00775AFC" w:rsidRDefault="00775AFC" w:rsidP="00C83AE1">
            <w:pPr>
              <w:spacing w:after="0" w:line="240" w:lineRule="auto"/>
              <w:jc w:val="center"/>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Чистые денежные средства, полученные от (использованные в) инвестиционной деятельности</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Приобретение ценных бумаг и других финансовых активов, относящихся к категории "имеющиеся в наличии для продажи"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039</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778</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-4 380 770</w:t>
            </w:r>
          </w:p>
        </w:tc>
      </w:tr>
      <w:tr w:rsidR="00775AFC" w:rsidRPr="00775AFC" w:rsidTr="00C83AE1">
        <w:trPr>
          <w:trHeight w:val="48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Выручка от реализации и погашения ценных бумаг и других финансовых активов, относящихся к категории "имеющиеся в наличии для продажи"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925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135</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4 118 927</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2.3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Приобретение ценных бумаг, относящихся к категории "удерживаемые до погашения"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2.4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Выручка от погашения ценных бумаг, относящихся к категории "удерживаемые до погашения"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345</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022</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2.5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Приобретение основных средств, нематериальных активов и материальных запасов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-4</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602</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-57 053</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2.6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Выручка от реализации основных средств, нематериальных активов и материальных запасов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10</w:t>
            </w:r>
            <w:r w:rsidR="00506DD4">
              <w:rPr>
                <w:rFonts w:ascii="Georgia" w:eastAsia="Times New Roman" w:hAnsi="Georgia" w:cs="Calibri"/>
                <w:color w:val="1F497D"/>
                <w:sz w:val="19"/>
                <w:szCs w:val="19"/>
              </w:rPr>
              <w:t xml:space="preserve"> </w:t>
            </w:r>
            <w:r w:rsidRPr="00775AFC">
              <w:rPr>
                <w:rFonts w:ascii="Georgia" w:eastAsia="Times New Roman" w:hAnsi="Georgia" w:cs="Calibri"/>
                <w:color w:val="1F497D"/>
                <w:sz w:val="19"/>
                <w:szCs w:val="19"/>
              </w:rPr>
              <w:t>560</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90 945</w:t>
            </w:r>
          </w:p>
        </w:tc>
      </w:tr>
      <w:tr w:rsidR="00775AFC" w:rsidRPr="00775AFC" w:rsidTr="00C83AE1">
        <w:trPr>
          <w:trHeight w:val="243"/>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2.7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Дивиденды полученные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2.8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Итого по разделу 2 (сумма строк с 2.1 по 2.7)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236 337</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-227 950</w:t>
            </w:r>
          </w:p>
        </w:tc>
      </w:tr>
      <w:tr w:rsidR="00775AFC" w:rsidRPr="00775AFC" w:rsidTr="00C83AE1">
        <w:trPr>
          <w:trHeight w:val="295"/>
        </w:trPr>
        <w:tc>
          <w:tcPr>
            <w:tcW w:w="1016" w:type="dxa"/>
            <w:tcBorders>
              <w:top w:val="nil"/>
              <w:left w:val="nil"/>
              <w:bottom w:val="nil"/>
              <w:right w:val="nil"/>
            </w:tcBorders>
            <w:shd w:val="clear" w:color="000000" w:fill="366092"/>
            <w:vAlign w:val="center"/>
            <w:hideMark/>
          </w:tcPr>
          <w:p w:rsidR="00775AFC" w:rsidRPr="00775AFC" w:rsidRDefault="00775AFC" w:rsidP="00775AFC">
            <w:pPr>
              <w:spacing w:after="0" w:line="240" w:lineRule="auto"/>
              <w:jc w:val="center"/>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3</w:t>
            </w:r>
          </w:p>
        </w:tc>
        <w:tc>
          <w:tcPr>
            <w:tcW w:w="7980" w:type="dxa"/>
            <w:gridSpan w:val="3"/>
            <w:tcBorders>
              <w:top w:val="single" w:sz="8" w:space="0" w:color="95B3D7"/>
              <w:left w:val="nil"/>
              <w:bottom w:val="nil"/>
              <w:right w:val="nil"/>
            </w:tcBorders>
            <w:shd w:val="clear" w:color="000000" w:fill="366092"/>
            <w:vAlign w:val="center"/>
            <w:hideMark/>
          </w:tcPr>
          <w:p w:rsidR="00775AFC" w:rsidRPr="00775AFC" w:rsidRDefault="00775AFC" w:rsidP="00C83AE1">
            <w:pPr>
              <w:spacing w:after="0" w:line="240" w:lineRule="auto"/>
              <w:jc w:val="center"/>
              <w:rPr>
                <w:rFonts w:ascii="Georgia" w:eastAsia="Times New Roman" w:hAnsi="Georgia" w:cs="Calibri"/>
                <w:b/>
                <w:bCs/>
                <w:color w:val="FFFFFF"/>
                <w:sz w:val="19"/>
                <w:szCs w:val="19"/>
              </w:rPr>
            </w:pPr>
            <w:r w:rsidRPr="00775AFC">
              <w:rPr>
                <w:rFonts w:ascii="Georgia" w:eastAsia="Times New Roman" w:hAnsi="Georgia" w:cs="Calibri"/>
                <w:b/>
                <w:bCs/>
                <w:color w:val="FFFFFF"/>
                <w:sz w:val="19"/>
                <w:szCs w:val="19"/>
              </w:rPr>
              <w:t>Чистые денежные средства, полученные от (использованные в) финансовой деятельности</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3.1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Взносы акционеров (участников) в уставный капитал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3.2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Приобретение собственных акций (долей), выкупленных у акционеров (участников)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3.3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Продажа собственных акций (долей), выкупленных у акционеров (участников)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3.4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Выплаченные дивиденды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15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3.5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Итого по разделу 3 (сумма строк с 3.1 по 3.4)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4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Влияние изменений официальных курсов иностранных валют по отношению к рублю, установленных Банком России, на денежные средства и их эквиваленты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51 233</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35 063</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5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Прирост (использование) денежных средств и их эквивалентов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853 341</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349 222</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5.1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Денежные средства и их эквиваленты на начало отчетного периода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1 800 095</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1 450 873</w:t>
            </w:r>
          </w:p>
        </w:tc>
      </w:tr>
      <w:tr w:rsidR="00775AFC" w:rsidRPr="00775AFC" w:rsidTr="00C83AE1">
        <w:trPr>
          <w:trHeight w:val="295"/>
        </w:trPr>
        <w:tc>
          <w:tcPr>
            <w:tcW w:w="1016"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 5.2 </w:t>
            </w:r>
          </w:p>
        </w:tc>
        <w:tc>
          <w:tcPr>
            <w:tcW w:w="4351" w:type="dxa"/>
            <w:tcBorders>
              <w:top w:val="nil"/>
              <w:left w:val="nil"/>
              <w:bottom w:val="single" w:sz="8" w:space="0" w:color="95B3D7"/>
              <w:right w:val="nil"/>
            </w:tcBorders>
            <w:shd w:val="clear" w:color="auto" w:fill="auto"/>
            <w:vAlign w:val="center"/>
            <w:hideMark/>
          </w:tcPr>
          <w:p w:rsidR="00775AFC" w:rsidRPr="00775AFC" w:rsidRDefault="00775AFC" w:rsidP="00775AFC">
            <w:pPr>
              <w:spacing w:after="0" w:line="240" w:lineRule="auto"/>
              <w:rPr>
                <w:rFonts w:ascii="Georgia" w:eastAsia="Times New Roman" w:hAnsi="Georgia" w:cs="Calibri"/>
                <w:color w:val="1F497D"/>
                <w:sz w:val="19"/>
                <w:szCs w:val="19"/>
              </w:rPr>
            </w:pPr>
            <w:r w:rsidRPr="00775AFC">
              <w:rPr>
                <w:rFonts w:ascii="Georgia" w:eastAsia="Times New Roman" w:hAnsi="Georgia" w:cs="Calibri"/>
                <w:color w:val="1F497D"/>
                <w:sz w:val="19"/>
                <w:szCs w:val="19"/>
              </w:rPr>
              <w:t xml:space="preserve">Денежные средства и их эквиваленты на конец отчетного периода    </w:t>
            </w:r>
          </w:p>
        </w:tc>
        <w:tc>
          <w:tcPr>
            <w:tcW w:w="1451"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2 653 436</w:t>
            </w:r>
          </w:p>
        </w:tc>
        <w:tc>
          <w:tcPr>
            <w:tcW w:w="2178" w:type="dxa"/>
            <w:tcBorders>
              <w:top w:val="nil"/>
              <w:left w:val="nil"/>
              <w:bottom w:val="single" w:sz="8" w:space="0" w:color="95B3D7"/>
              <w:right w:val="nil"/>
            </w:tcBorders>
            <w:shd w:val="clear" w:color="auto" w:fill="auto"/>
            <w:vAlign w:val="center"/>
            <w:hideMark/>
          </w:tcPr>
          <w:p w:rsidR="00775AFC" w:rsidRPr="00775AFC" w:rsidRDefault="00775AFC" w:rsidP="00C83AE1">
            <w:pPr>
              <w:spacing w:after="0" w:line="240" w:lineRule="auto"/>
              <w:jc w:val="center"/>
              <w:rPr>
                <w:rFonts w:ascii="Georgia" w:eastAsia="Times New Roman" w:hAnsi="Georgia" w:cs="Calibri"/>
                <w:color w:val="1F497D"/>
                <w:sz w:val="19"/>
                <w:szCs w:val="19"/>
              </w:rPr>
            </w:pPr>
            <w:r w:rsidRPr="00775AFC">
              <w:rPr>
                <w:rFonts w:ascii="Georgia" w:eastAsia="Times New Roman" w:hAnsi="Georgia" w:cs="Calibri"/>
                <w:color w:val="1F497D"/>
                <w:sz w:val="19"/>
                <w:szCs w:val="19"/>
              </w:rPr>
              <w:t>1 800 095</w:t>
            </w:r>
          </w:p>
        </w:tc>
      </w:tr>
    </w:tbl>
    <w:p w:rsidR="0018758C" w:rsidRPr="00EE317B" w:rsidRDefault="0018758C" w:rsidP="00BE0B80">
      <w:pPr>
        <w:spacing w:after="120" w:line="240" w:lineRule="auto"/>
        <w:rPr>
          <w:rFonts w:ascii="Georgia" w:hAnsi="Georgia"/>
          <w:sz w:val="24"/>
          <w:szCs w:val="24"/>
          <w:highlight w:val="yellow"/>
        </w:rPr>
      </w:pPr>
    </w:p>
    <w:p w:rsidR="0018758C" w:rsidRPr="00506DD4" w:rsidRDefault="0018758C" w:rsidP="00BE0B80">
      <w:pPr>
        <w:pStyle w:val="2014"/>
        <w:jc w:val="left"/>
      </w:pPr>
      <w:r w:rsidRPr="00506DD4">
        <w:t xml:space="preserve">Председатель Правления </w:t>
      </w:r>
      <w:r w:rsidRPr="00506DD4">
        <w:tab/>
      </w:r>
      <w:r w:rsidRPr="00506DD4">
        <w:tab/>
      </w:r>
      <w:r w:rsidRPr="00506DD4">
        <w:tab/>
      </w:r>
      <w:r w:rsidRPr="00506DD4">
        <w:tab/>
      </w:r>
      <w:r w:rsidRPr="00506DD4">
        <w:tab/>
        <w:t xml:space="preserve">М.Р. Зарипов </w:t>
      </w:r>
    </w:p>
    <w:p w:rsidR="0018758C" w:rsidRPr="00506DD4" w:rsidRDefault="0018758C" w:rsidP="00BE0B80">
      <w:pPr>
        <w:pStyle w:val="2014"/>
        <w:jc w:val="left"/>
      </w:pPr>
    </w:p>
    <w:p w:rsidR="0018758C" w:rsidRPr="00506DD4" w:rsidRDefault="0018758C" w:rsidP="00BE0B80">
      <w:pPr>
        <w:pStyle w:val="2014"/>
        <w:jc w:val="left"/>
      </w:pPr>
    </w:p>
    <w:p w:rsidR="0018758C" w:rsidRDefault="0018758C" w:rsidP="00BE0B80">
      <w:pPr>
        <w:pStyle w:val="2014"/>
        <w:jc w:val="left"/>
      </w:pPr>
      <w:r w:rsidRPr="00506DD4">
        <w:t xml:space="preserve">Главный бухгалтер </w:t>
      </w:r>
      <w:r w:rsidRPr="00506DD4">
        <w:tab/>
      </w:r>
      <w:r w:rsidRPr="00506DD4">
        <w:tab/>
      </w:r>
      <w:r w:rsidRPr="00506DD4">
        <w:tab/>
      </w:r>
      <w:r w:rsidRPr="00506DD4">
        <w:tab/>
      </w:r>
      <w:r w:rsidRPr="00506DD4">
        <w:tab/>
      </w:r>
      <w:r w:rsidRPr="00506DD4">
        <w:tab/>
        <w:t>Н.Р. Молева</w:t>
      </w:r>
    </w:p>
    <w:p w:rsidR="008D0D02" w:rsidRPr="009F7F2D" w:rsidRDefault="008D0D02" w:rsidP="007655FF">
      <w:pPr>
        <w:spacing w:after="0" w:line="240" w:lineRule="auto"/>
        <w:rPr>
          <w:rFonts w:ascii="Georgia" w:hAnsi="Georgia"/>
          <w:b/>
          <w:i/>
          <w:color w:val="365F91" w:themeColor="accent1" w:themeShade="BF"/>
          <w:sz w:val="28"/>
          <w:szCs w:val="24"/>
        </w:rPr>
      </w:pPr>
    </w:p>
    <w:p w:rsidR="00425E4F" w:rsidRPr="00425E4F" w:rsidRDefault="00425E4F" w:rsidP="00EE317B">
      <w:pPr>
        <w:pStyle w:val="1"/>
        <w:spacing w:before="0" w:line="240" w:lineRule="auto"/>
        <w:rPr>
          <w:noProof/>
          <w:color w:val="00B050"/>
          <w:sz w:val="20"/>
          <w:szCs w:val="20"/>
        </w:rPr>
      </w:pPr>
    </w:p>
    <w:p w:rsidR="00EE317B" w:rsidRPr="003D5038" w:rsidRDefault="00EE317B" w:rsidP="00EE317B">
      <w:pPr>
        <w:pStyle w:val="1"/>
        <w:spacing w:before="0" w:line="240" w:lineRule="auto"/>
        <w:rPr>
          <w:noProof/>
          <w:color w:val="00B050"/>
          <w:sz w:val="40"/>
        </w:rPr>
      </w:pPr>
      <w:bookmarkStart w:id="66" w:name="_Toc448145493"/>
      <w:r w:rsidRPr="003D5038">
        <w:rPr>
          <w:noProof/>
          <w:color w:val="00B050"/>
          <w:sz w:val="40"/>
        </w:rPr>
        <w:t>Основные сведения об ПАО «ИнтехБанк»</w:t>
      </w:r>
      <w:bookmarkEnd w:id="66"/>
    </w:p>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tbl>
      <w:tblPr>
        <w:tblW w:w="8525" w:type="dxa"/>
        <w:tblInd w:w="88" w:type="dxa"/>
        <w:tblLook w:val="04A0" w:firstRow="1" w:lastRow="0" w:firstColumn="1" w:lastColumn="0" w:noHBand="0" w:noVBand="1"/>
      </w:tblPr>
      <w:tblGrid>
        <w:gridCol w:w="3356"/>
        <w:gridCol w:w="5169"/>
      </w:tblGrid>
      <w:tr w:rsidR="00EE317B" w:rsidRPr="003D5038" w:rsidTr="00EE317B">
        <w:trPr>
          <w:trHeight w:val="315"/>
        </w:trPr>
        <w:tc>
          <w:tcPr>
            <w:tcW w:w="3356" w:type="dxa"/>
            <w:tcBorders>
              <w:top w:val="nil"/>
              <w:left w:val="nil"/>
              <w:bottom w:val="single" w:sz="8" w:space="0" w:color="95B3D7"/>
              <w:right w:val="nil"/>
            </w:tcBorders>
            <w:shd w:val="clear" w:color="000000" w:fill="B8CCE4"/>
            <w:noWrap/>
            <w:vAlign w:val="center"/>
            <w:hideMark/>
          </w:tcPr>
          <w:p w:rsidR="00EE317B" w:rsidRPr="003D5038" w:rsidRDefault="00EE317B" w:rsidP="00EE317B">
            <w:pPr>
              <w:spacing w:before="120" w:after="120" w:line="240" w:lineRule="auto"/>
              <w:rPr>
                <w:rFonts w:ascii="Georgia" w:eastAsia="Times New Roman" w:hAnsi="Georgia" w:cs="Calibri"/>
                <w:b/>
                <w:bCs/>
                <w:color w:val="1F497D"/>
                <w:sz w:val="24"/>
                <w:szCs w:val="24"/>
              </w:rPr>
            </w:pPr>
            <w:r w:rsidRPr="003D5038">
              <w:rPr>
                <w:rFonts w:ascii="Georgia" w:eastAsia="Times New Roman" w:hAnsi="Georgia" w:cs="Calibri"/>
                <w:b/>
                <w:bCs/>
                <w:color w:val="1F497D"/>
                <w:sz w:val="24"/>
                <w:szCs w:val="24"/>
              </w:rPr>
              <w:t>Общая информация</w:t>
            </w:r>
          </w:p>
        </w:tc>
        <w:tc>
          <w:tcPr>
            <w:tcW w:w="5169" w:type="dxa"/>
            <w:tcBorders>
              <w:top w:val="nil"/>
              <w:left w:val="nil"/>
              <w:bottom w:val="single" w:sz="8" w:space="0" w:color="95B3D7"/>
              <w:right w:val="nil"/>
            </w:tcBorders>
            <w:shd w:val="clear" w:color="000000" w:fill="B8CCE4"/>
            <w:noWrap/>
            <w:vAlign w:val="center"/>
            <w:hideMark/>
          </w:tcPr>
          <w:p w:rsidR="00EE317B" w:rsidRPr="003D5038" w:rsidRDefault="00EE317B" w:rsidP="00EE317B">
            <w:pPr>
              <w:spacing w:before="120" w:after="120" w:line="240" w:lineRule="auto"/>
              <w:jc w:val="center"/>
              <w:rPr>
                <w:rFonts w:ascii="Georgia" w:eastAsia="Times New Roman" w:hAnsi="Georgia" w:cs="Calibri"/>
                <w:b/>
                <w:bCs/>
                <w:color w:val="1F497D"/>
                <w:sz w:val="24"/>
                <w:szCs w:val="24"/>
              </w:rPr>
            </w:pPr>
            <w:r w:rsidRPr="003D5038">
              <w:rPr>
                <w:rFonts w:ascii="Georgia" w:eastAsia="Times New Roman" w:hAnsi="Georgia" w:cs="Calibri"/>
                <w:b/>
                <w:bCs/>
                <w:color w:val="1F497D"/>
                <w:sz w:val="24"/>
                <w:szCs w:val="24"/>
              </w:rPr>
              <w:t>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Полное наименование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bCs/>
                <w:color w:val="1F497D"/>
                <w:sz w:val="24"/>
                <w:szCs w:val="24"/>
              </w:rPr>
              <w:t xml:space="preserve"> Публичное акционерное общество «ИнтехБанк»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Сокращенное наименование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bCs/>
                <w:color w:val="1F497D"/>
                <w:sz w:val="24"/>
                <w:szCs w:val="24"/>
              </w:rPr>
              <w:t xml:space="preserve"> ПАО «ИнтехБанк»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Местонахождение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bCs/>
                <w:color w:val="1F497D"/>
                <w:sz w:val="24"/>
                <w:szCs w:val="24"/>
              </w:rPr>
              <w:t xml:space="preserve"> 420021, Российская Федерация, Республика Татарстан, г. Казань, ул. Шигабутдина Марджани, д.24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Почтовый адрес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bCs/>
                <w:color w:val="1F497D"/>
                <w:sz w:val="24"/>
                <w:szCs w:val="24"/>
              </w:rPr>
              <w:t xml:space="preserve"> 420021, Российская Федерация, Республика Татарстан, г. Казань, ул. Шигабутдина Марджани, д.24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Единая справочная служба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8-800-1000-221 (бесплатный звонок по России)</w:t>
            </w:r>
          </w:p>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(843) 22-11-777</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Электронная почта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AA156D" w:rsidP="00EE317B">
            <w:pPr>
              <w:spacing w:before="120" w:after="120" w:line="240" w:lineRule="auto"/>
              <w:rPr>
                <w:rFonts w:ascii="Georgia" w:eastAsia="Times New Roman" w:hAnsi="Georgia" w:cs="Calibri"/>
                <w:color w:val="0000FF"/>
                <w:sz w:val="24"/>
                <w:szCs w:val="24"/>
                <w:u w:val="single"/>
              </w:rPr>
            </w:pPr>
            <w:hyperlink r:id="rId46" w:history="1">
              <w:r w:rsidR="00EE317B" w:rsidRPr="003D5038">
                <w:rPr>
                  <w:rFonts w:ascii="Georgia" w:eastAsia="Times New Roman" w:hAnsi="Georgia" w:cs="Calibri"/>
                  <w:color w:val="0000FF"/>
                  <w:sz w:val="24"/>
                  <w:szCs w:val="24"/>
                  <w:u w:val="single"/>
                </w:rPr>
                <w:t xml:space="preserve"> info@intechbank.ru </w:t>
              </w:r>
            </w:hyperlink>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Интернет-сайт </w:t>
            </w:r>
          </w:p>
        </w:tc>
        <w:tc>
          <w:tcPr>
            <w:tcW w:w="5169" w:type="dxa"/>
            <w:tcBorders>
              <w:top w:val="nil"/>
              <w:left w:val="nil"/>
              <w:bottom w:val="single" w:sz="8" w:space="0" w:color="95B3D7"/>
              <w:right w:val="nil"/>
            </w:tcBorders>
            <w:shd w:val="clear" w:color="auto" w:fill="auto"/>
            <w:noWrap/>
            <w:vAlign w:val="bottom"/>
            <w:hideMark/>
          </w:tcPr>
          <w:p w:rsidR="00EE317B" w:rsidRPr="003D5038" w:rsidRDefault="00AA156D" w:rsidP="00EE317B">
            <w:pPr>
              <w:spacing w:before="120" w:after="120" w:line="240" w:lineRule="auto"/>
              <w:rPr>
                <w:rFonts w:ascii="Georgia" w:eastAsia="Times New Roman" w:hAnsi="Georgia" w:cs="Calibri"/>
                <w:color w:val="0000FF"/>
                <w:sz w:val="24"/>
                <w:szCs w:val="24"/>
                <w:u w:val="single"/>
              </w:rPr>
            </w:pPr>
            <w:hyperlink r:id="rId47" w:history="1">
              <w:r w:rsidR="00EE317B" w:rsidRPr="003D5038">
                <w:rPr>
                  <w:rFonts w:ascii="Georgia" w:eastAsia="Times New Roman" w:hAnsi="Georgia" w:cs="Calibri"/>
                  <w:color w:val="0000FF"/>
                  <w:sz w:val="24"/>
                  <w:szCs w:val="24"/>
                  <w:u w:val="single"/>
                </w:rPr>
                <w:t xml:space="preserve"> http://www.intechbank.ru </w:t>
              </w:r>
            </w:hyperlink>
          </w:p>
        </w:tc>
      </w:tr>
      <w:tr w:rsidR="00EE317B" w:rsidRPr="003D5038" w:rsidTr="00EE317B">
        <w:trPr>
          <w:trHeight w:val="300"/>
        </w:trPr>
        <w:tc>
          <w:tcPr>
            <w:tcW w:w="3356" w:type="dxa"/>
            <w:tcBorders>
              <w:top w:val="nil"/>
              <w:left w:val="nil"/>
              <w:bottom w:val="nil"/>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000000"/>
                <w:sz w:val="24"/>
                <w:szCs w:val="24"/>
              </w:rPr>
            </w:pPr>
          </w:p>
          <w:p w:rsidR="00EE317B" w:rsidRPr="003D5038" w:rsidRDefault="00EE317B" w:rsidP="00EE317B">
            <w:pPr>
              <w:spacing w:before="120" w:after="120" w:line="240" w:lineRule="auto"/>
              <w:rPr>
                <w:rFonts w:ascii="Georgia" w:eastAsia="Times New Roman" w:hAnsi="Georgia" w:cs="Calibri"/>
                <w:color w:val="000000"/>
                <w:sz w:val="24"/>
                <w:szCs w:val="24"/>
              </w:rPr>
            </w:pPr>
          </w:p>
        </w:tc>
        <w:tc>
          <w:tcPr>
            <w:tcW w:w="5169" w:type="dxa"/>
            <w:tcBorders>
              <w:top w:val="nil"/>
              <w:left w:val="nil"/>
              <w:bottom w:val="nil"/>
              <w:right w:val="nil"/>
            </w:tcBorders>
            <w:shd w:val="clear" w:color="auto" w:fill="auto"/>
            <w:noWrap/>
            <w:vAlign w:val="bottom"/>
            <w:hideMark/>
          </w:tcPr>
          <w:p w:rsidR="00EE317B" w:rsidRPr="003D5038" w:rsidRDefault="00EE317B" w:rsidP="00EE317B">
            <w:pPr>
              <w:spacing w:before="120" w:after="120" w:line="240" w:lineRule="auto"/>
              <w:rPr>
                <w:rFonts w:ascii="Georgia" w:eastAsia="Times New Roman" w:hAnsi="Georgia" w:cs="Calibri"/>
                <w:color w:val="000000"/>
                <w:sz w:val="24"/>
                <w:szCs w:val="24"/>
              </w:rPr>
            </w:pPr>
          </w:p>
        </w:tc>
      </w:tr>
      <w:tr w:rsidR="00EE317B" w:rsidRPr="003D5038" w:rsidTr="00EE317B">
        <w:trPr>
          <w:trHeight w:val="315"/>
        </w:trPr>
        <w:tc>
          <w:tcPr>
            <w:tcW w:w="3356" w:type="dxa"/>
            <w:tcBorders>
              <w:top w:val="nil"/>
              <w:left w:val="nil"/>
              <w:bottom w:val="single" w:sz="8" w:space="0" w:color="95B3D7"/>
              <w:right w:val="nil"/>
            </w:tcBorders>
            <w:shd w:val="clear" w:color="000000" w:fill="B8CCE4"/>
            <w:noWrap/>
            <w:vAlign w:val="center"/>
            <w:hideMark/>
          </w:tcPr>
          <w:p w:rsidR="00EE317B" w:rsidRPr="003D5038" w:rsidRDefault="00EE317B" w:rsidP="00EE317B">
            <w:pPr>
              <w:spacing w:before="120" w:after="120" w:line="240" w:lineRule="auto"/>
              <w:rPr>
                <w:rFonts w:ascii="Georgia" w:eastAsia="Times New Roman" w:hAnsi="Georgia" w:cs="Calibri"/>
                <w:b/>
                <w:bCs/>
                <w:color w:val="1F497D"/>
                <w:sz w:val="24"/>
                <w:szCs w:val="24"/>
              </w:rPr>
            </w:pPr>
            <w:r w:rsidRPr="003D5038">
              <w:rPr>
                <w:rFonts w:ascii="Georgia" w:eastAsia="Times New Roman" w:hAnsi="Georgia" w:cs="Calibri"/>
                <w:b/>
                <w:bCs/>
                <w:color w:val="1F497D"/>
                <w:sz w:val="24"/>
                <w:szCs w:val="24"/>
              </w:rPr>
              <w:t>Реквизиты</w:t>
            </w:r>
          </w:p>
        </w:tc>
        <w:tc>
          <w:tcPr>
            <w:tcW w:w="5169" w:type="dxa"/>
            <w:tcBorders>
              <w:top w:val="nil"/>
              <w:left w:val="nil"/>
              <w:bottom w:val="single" w:sz="8" w:space="0" w:color="95B3D7"/>
              <w:right w:val="nil"/>
            </w:tcBorders>
            <w:shd w:val="clear" w:color="000000" w:fill="B8CCE4"/>
            <w:noWrap/>
            <w:vAlign w:val="center"/>
            <w:hideMark/>
          </w:tcPr>
          <w:p w:rsidR="00EE317B" w:rsidRPr="003D5038" w:rsidRDefault="00EE317B" w:rsidP="00EE317B">
            <w:pPr>
              <w:spacing w:before="120" w:after="120" w:line="240" w:lineRule="auto"/>
              <w:jc w:val="center"/>
              <w:rPr>
                <w:rFonts w:ascii="Georgia" w:eastAsia="Times New Roman" w:hAnsi="Georgia" w:cs="Calibri"/>
                <w:b/>
                <w:bCs/>
                <w:color w:val="1F497D"/>
                <w:sz w:val="24"/>
                <w:szCs w:val="24"/>
              </w:rPr>
            </w:pPr>
            <w:r w:rsidRPr="003D5038">
              <w:rPr>
                <w:rFonts w:ascii="Georgia" w:eastAsia="Times New Roman" w:hAnsi="Georgia" w:cs="Calibri"/>
                <w:b/>
                <w:bCs/>
                <w:color w:val="1F497D"/>
                <w:sz w:val="24"/>
                <w:szCs w:val="24"/>
              </w:rPr>
              <w:t> </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ИНН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1658088006</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КПП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165501001</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БИК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049205804</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Корр. счет в Отделении – НБ Республика Татарстан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30101810700000000804</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SWIFT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INHBRU2KXXX</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ОКВЭД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6512</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ОКПО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33863696</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ОГРН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1081600001097</w:t>
            </w:r>
          </w:p>
        </w:tc>
      </w:tr>
      <w:tr w:rsidR="00EE317B" w:rsidRPr="003D5038" w:rsidTr="00EE317B">
        <w:trPr>
          <w:trHeight w:val="315"/>
        </w:trPr>
        <w:tc>
          <w:tcPr>
            <w:tcW w:w="3356"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rPr>
                <w:rFonts w:ascii="Georgia" w:eastAsia="Times New Roman" w:hAnsi="Georgia" w:cs="Calibri"/>
                <w:color w:val="1F497D"/>
                <w:sz w:val="24"/>
                <w:szCs w:val="24"/>
              </w:rPr>
            </w:pPr>
            <w:r w:rsidRPr="003D5038">
              <w:rPr>
                <w:rFonts w:ascii="Georgia" w:eastAsia="Times New Roman" w:hAnsi="Georgia" w:cs="Calibri"/>
                <w:color w:val="1F497D"/>
                <w:sz w:val="24"/>
                <w:szCs w:val="24"/>
              </w:rPr>
              <w:t xml:space="preserve"> ОКТМО </w:t>
            </w:r>
          </w:p>
        </w:tc>
        <w:tc>
          <w:tcPr>
            <w:tcW w:w="5169" w:type="dxa"/>
            <w:tcBorders>
              <w:top w:val="nil"/>
              <w:left w:val="nil"/>
              <w:bottom w:val="single" w:sz="8" w:space="0" w:color="95B3D7"/>
              <w:right w:val="nil"/>
            </w:tcBorders>
            <w:shd w:val="clear" w:color="auto" w:fill="auto"/>
            <w:noWrap/>
            <w:vAlign w:val="center"/>
            <w:hideMark/>
          </w:tcPr>
          <w:p w:rsidR="00EE317B" w:rsidRPr="003D5038" w:rsidRDefault="00EE317B" w:rsidP="00EE317B">
            <w:pPr>
              <w:spacing w:before="120" w:after="120" w:line="240" w:lineRule="auto"/>
              <w:jc w:val="right"/>
              <w:rPr>
                <w:rFonts w:ascii="Georgia" w:eastAsia="Times New Roman" w:hAnsi="Georgia" w:cs="Calibri"/>
                <w:color w:val="1F497D"/>
                <w:sz w:val="24"/>
                <w:szCs w:val="24"/>
              </w:rPr>
            </w:pPr>
            <w:r w:rsidRPr="003D5038">
              <w:rPr>
                <w:rFonts w:ascii="Georgia" w:eastAsia="Times New Roman" w:hAnsi="Georgia" w:cs="Calibri"/>
                <w:color w:val="1F497D"/>
                <w:sz w:val="24"/>
                <w:szCs w:val="24"/>
              </w:rPr>
              <w:t>92701000</w:t>
            </w:r>
          </w:p>
        </w:tc>
      </w:tr>
    </w:tbl>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p w:rsidR="00EE317B" w:rsidRDefault="00EE317B" w:rsidP="00EE317B">
      <w:pPr>
        <w:pStyle w:val="2014"/>
        <w:rPr>
          <w:rFonts w:cstheme="minorHAnsi"/>
          <w:b/>
          <w:i/>
          <w:color w:val="365F91" w:themeColor="accent1" w:themeShade="BF"/>
          <w:sz w:val="20"/>
          <w:szCs w:val="20"/>
        </w:rPr>
      </w:pPr>
    </w:p>
    <w:p w:rsidR="00425E4F" w:rsidRPr="00425E4F" w:rsidRDefault="00425E4F" w:rsidP="00EE317B">
      <w:pPr>
        <w:pStyle w:val="2014"/>
        <w:rPr>
          <w:rFonts w:cstheme="minorHAnsi"/>
          <w:b/>
          <w:i/>
          <w:color w:val="365F91" w:themeColor="accent1" w:themeShade="BF"/>
          <w:sz w:val="20"/>
          <w:szCs w:val="20"/>
        </w:rPr>
      </w:pPr>
    </w:p>
    <w:p w:rsidR="00EE317B" w:rsidRPr="003D5038" w:rsidRDefault="00EE317B" w:rsidP="00EE317B">
      <w:pPr>
        <w:pStyle w:val="2014"/>
        <w:rPr>
          <w:b/>
          <w:i/>
          <w:color w:val="365F91" w:themeColor="accent1" w:themeShade="BF"/>
          <w:sz w:val="28"/>
        </w:rPr>
      </w:pPr>
      <w:r w:rsidRPr="003D5038">
        <w:rPr>
          <w:b/>
          <w:i/>
          <w:color w:val="365F91" w:themeColor="accent1" w:themeShade="BF"/>
          <w:sz w:val="28"/>
        </w:rPr>
        <w:t>Лицензии ПАО «ИнтехБанк»</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Генеральная лицензия на осуществление банковских операций № 2705 от 10 апреля 2015 года.</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Лицензия на привлечение во вклады и размещение драгоценных металлов № 2705 от 10 апреля 2015 года.</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Лицензия профессионального участника рынка ценных бумаг на осуществление брокерской деятельности № 092-11510-100000 от 21 августа 2008 г. Срок действия лицензии – без ограничения срока действия.</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 Лицензия профессионального участника рынка ценных бумаг на осуществление дилерской деятельности № 092-11511-010000 от 21 августа 2008 г. Срок действия лицензии – без ограничения срока действия.</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Theme="majorHAnsi" w:eastAsiaTheme="majorEastAsia" w:hAnsiTheme="majorHAnsi" w:cstheme="majorBidi"/>
          <w:b/>
          <w:bCs/>
          <w:noProof/>
          <w:color w:val="00B050"/>
          <w:sz w:val="20"/>
          <w:szCs w:val="20"/>
        </w:rPr>
      </w:pPr>
      <w:r w:rsidRPr="003D5038">
        <w:rPr>
          <w:rFonts w:ascii="Georgia" w:hAnsi="Georgia"/>
          <w:color w:val="000000"/>
        </w:rPr>
        <w:t>Лицензия профессионального участника рынка ценных бумаг на осуществление деятельности по управлению ценными бумагами                № 092-11512-001000 от 21 августа 2008г. Срок действия лицензии – без ограничения срока действия.</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Theme="majorHAnsi" w:eastAsiaTheme="majorEastAsia" w:hAnsiTheme="majorHAnsi" w:cstheme="majorBidi"/>
          <w:b/>
          <w:bCs/>
          <w:noProof/>
          <w:color w:val="00B050"/>
          <w:sz w:val="20"/>
          <w:szCs w:val="20"/>
        </w:rPr>
      </w:pPr>
      <w:r w:rsidRPr="003D5038">
        <w:rPr>
          <w:rFonts w:ascii="Georgia" w:hAnsi="Georgia"/>
          <w:color w:val="000000"/>
        </w:rPr>
        <w:t>Лицензия</w:t>
      </w:r>
      <w:r w:rsidRPr="003D5038">
        <w:rPr>
          <w:rStyle w:val="textmenu1"/>
          <w:rFonts w:ascii="Georgia" w:hAnsi="Georgia"/>
          <w:color w:val="000000"/>
          <w:sz w:val="24"/>
        </w:rPr>
        <w:t xml:space="preserve"> профессионального участника рынка ценных бумаг на осуществление депозитарной деятельности № 092-08593-000100 от 08 сентября 2005 г. </w:t>
      </w:r>
      <w:r w:rsidRPr="003D5038">
        <w:rPr>
          <w:rFonts w:ascii="Georgia" w:hAnsi="Georgia"/>
          <w:color w:val="000000"/>
        </w:rPr>
        <w:t>Срок действия лицензии – без ограничения срока действия.</w:t>
      </w:r>
    </w:p>
    <w:p w:rsidR="00EE317B" w:rsidRPr="003D5038" w:rsidRDefault="00EE317B" w:rsidP="00EE317B">
      <w:pPr>
        <w:pStyle w:val="ab"/>
        <w:tabs>
          <w:tab w:val="left" w:pos="284"/>
        </w:tabs>
        <w:spacing w:before="0" w:beforeAutospacing="0" w:after="120" w:afterAutospacing="0"/>
        <w:jc w:val="both"/>
        <w:rPr>
          <w:rFonts w:ascii="Georgia" w:eastAsiaTheme="minorHAnsi" w:hAnsi="Georgia" w:cstheme="minorBidi"/>
          <w:b/>
          <w:i/>
          <w:color w:val="365F91" w:themeColor="accent1" w:themeShade="BF"/>
          <w:sz w:val="28"/>
          <w:lang w:eastAsia="en-US"/>
        </w:rPr>
      </w:pPr>
      <w:r w:rsidRPr="003D5038">
        <w:rPr>
          <w:rFonts w:ascii="Georgia" w:eastAsiaTheme="minorHAnsi" w:hAnsi="Georgia" w:cstheme="minorBidi"/>
          <w:b/>
          <w:i/>
          <w:color w:val="365F91" w:themeColor="accent1" w:themeShade="BF"/>
          <w:sz w:val="28"/>
          <w:lang w:eastAsia="en-US"/>
        </w:rPr>
        <w:t>Членство в некоммерческих организациях</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Саморегулируемая организация «Национальная фондовая ассоциация» (НФА)</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Международное сообщество Межбанковских Финансовых Телекоммуникаций (S.W.I.F.T)</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Негосударственная некоммерческая организация «Банковская ассоциация Татарстана»</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ЗАО «Фондовая биржа «ММВБ»</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Государственная корпорация «Агентство по страхованию вкладов»</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Международная платежная система «MasterCard International»</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Торгово-промышленная палата Республики Татарстан</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Некоммерческая организация «Ассоциация предприятий малого и среднего бизнеса Республики Татарстан»</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t>РООР «Союз строителей Республики Татарстан»</w:t>
      </w:r>
    </w:p>
    <w:p w:rsidR="00EE317B" w:rsidRPr="003D5038" w:rsidRDefault="00EE317B" w:rsidP="00EE317B">
      <w:pPr>
        <w:spacing w:after="120" w:line="240" w:lineRule="auto"/>
        <w:jc w:val="both"/>
        <w:rPr>
          <w:color w:val="000000"/>
          <w:sz w:val="20"/>
          <w:szCs w:val="20"/>
        </w:rPr>
      </w:pPr>
      <w:r w:rsidRPr="003D5038">
        <w:rPr>
          <w:rFonts w:ascii="Georgia" w:hAnsi="Georgia"/>
          <w:b/>
          <w:i/>
          <w:color w:val="365F91" w:themeColor="accent1" w:themeShade="BF"/>
          <w:sz w:val="28"/>
          <w:szCs w:val="24"/>
        </w:rPr>
        <w:t>Участие в системе обязательного страхования вкладов физических лиц</w:t>
      </w:r>
    </w:p>
    <w:p w:rsidR="00EE317B" w:rsidRPr="003D5038" w:rsidRDefault="00EE317B" w:rsidP="00EE317B">
      <w:pPr>
        <w:pStyle w:val="ab"/>
        <w:spacing w:before="0" w:beforeAutospacing="0" w:after="0" w:afterAutospacing="0"/>
        <w:jc w:val="both"/>
        <w:rPr>
          <w:rStyle w:val="textmenu1"/>
          <w:rFonts w:ascii="Georgia" w:hAnsi="Georgia"/>
          <w:color w:val="000000"/>
          <w:sz w:val="24"/>
        </w:rPr>
      </w:pPr>
      <w:r w:rsidRPr="003D5038">
        <w:rPr>
          <w:rStyle w:val="textmenu1"/>
          <w:rFonts w:ascii="Georgia" w:hAnsi="Georgia"/>
          <w:color w:val="000000"/>
          <w:sz w:val="24"/>
        </w:rPr>
        <w:t>ПАО «ИнтехБанк» включен Банком России в реестр банков - участников системы страхования вкладов с 20 января 2005 года.</w:t>
      </w:r>
    </w:p>
    <w:p w:rsidR="00EE317B" w:rsidRPr="003D5038" w:rsidRDefault="00EE317B" w:rsidP="00EE317B">
      <w:pPr>
        <w:pStyle w:val="ab"/>
        <w:numPr>
          <w:ilvl w:val="0"/>
          <w:numId w:val="2"/>
        </w:numPr>
        <w:tabs>
          <w:tab w:val="left" w:pos="284"/>
        </w:tabs>
        <w:spacing w:before="0" w:beforeAutospacing="0" w:after="120" w:afterAutospacing="0"/>
        <w:ind w:left="0" w:firstLine="0"/>
        <w:jc w:val="both"/>
        <w:rPr>
          <w:rFonts w:ascii="Georgia" w:hAnsi="Georgia"/>
          <w:color w:val="000000"/>
        </w:rPr>
      </w:pPr>
      <w:r w:rsidRPr="003D5038">
        <w:rPr>
          <w:rFonts w:ascii="Georgia" w:hAnsi="Georgia"/>
          <w:color w:val="000000"/>
        </w:rPr>
        <w:br w:type="page"/>
      </w:r>
    </w:p>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p w:rsidR="00EE317B" w:rsidRPr="003D5038" w:rsidRDefault="00EE317B" w:rsidP="00EE317B">
      <w:pPr>
        <w:pStyle w:val="1"/>
        <w:spacing w:before="0" w:line="240" w:lineRule="auto"/>
        <w:rPr>
          <w:noProof/>
          <w:color w:val="00B050"/>
          <w:sz w:val="40"/>
        </w:rPr>
      </w:pPr>
      <w:bookmarkStart w:id="67" w:name="_Toc448145494"/>
      <w:r w:rsidRPr="003D5038">
        <w:rPr>
          <w:noProof/>
          <w:color w:val="00B050"/>
          <w:sz w:val="40"/>
        </w:rPr>
        <w:t>Контактная информация</w:t>
      </w:r>
      <w:bookmarkEnd w:id="67"/>
    </w:p>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p w:rsidR="00EE317B" w:rsidRPr="003D5038" w:rsidRDefault="00EE317B" w:rsidP="00EE317B">
      <w:pPr>
        <w:spacing w:after="0" w:line="240" w:lineRule="auto"/>
        <w:rPr>
          <w:rFonts w:ascii="Georgia" w:hAnsi="Georgia"/>
          <w:color w:val="365F91" w:themeColor="accent1" w:themeShade="BF"/>
          <w:sz w:val="24"/>
          <w:szCs w:val="24"/>
          <w:u w:val="single"/>
        </w:rPr>
      </w:pPr>
      <w:r w:rsidRPr="003D5038">
        <w:rPr>
          <w:rStyle w:val="ac"/>
          <w:rFonts w:ascii="Georgia" w:hAnsi="Georgia"/>
          <w:color w:val="365F91" w:themeColor="accent1" w:themeShade="BF"/>
          <w:sz w:val="24"/>
          <w:szCs w:val="24"/>
          <w:u w:val="single"/>
        </w:rPr>
        <w:t>Головной офис</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Шигабутдина Марджани, д.24</w:t>
      </w:r>
    </w:p>
    <w:p w:rsidR="00EE317B" w:rsidRPr="003D5038" w:rsidRDefault="00EE317B" w:rsidP="00EE317B">
      <w:pPr>
        <w:spacing w:after="0" w:line="240" w:lineRule="auto"/>
        <w:rPr>
          <w:rFonts w:ascii="Georgia" w:eastAsiaTheme="majorEastAsia" w:hAnsi="Georgia" w:cstheme="majorBidi"/>
          <w:b/>
          <w:bCs/>
          <w:noProof/>
          <w:color w:val="00B050"/>
          <w:sz w:val="24"/>
          <w:szCs w:val="24"/>
        </w:rPr>
      </w:pPr>
      <w:r w:rsidRPr="003D5038">
        <w:rPr>
          <w:rFonts w:ascii="Georgia" w:hAnsi="Georgia"/>
          <w:sz w:val="24"/>
          <w:szCs w:val="24"/>
        </w:rPr>
        <w:t>Телефон: (843) 22-11-700 (приемная), (843) 22-11-777 (Контакт - центр)</w:t>
      </w:r>
    </w:p>
    <w:p w:rsidR="00EE317B" w:rsidRPr="003D5038" w:rsidRDefault="00EE317B" w:rsidP="00EE317B">
      <w:pPr>
        <w:spacing w:after="0" w:line="240" w:lineRule="auto"/>
        <w:rPr>
          <w:rFonts w:asciiTheme="majorHAnsi" w:eastAsiaTheme="majorEastAsia" w:hAnsiTheme="majorHAnsi" w:cstheme="majorBidi"/>
          <w:b/>
          <w:bCs/>
          <w:noProof/>
          <w:color w:val="00B050"/>
          <w:sz w:val="20"/>
          <w:szCs w:val="20"/>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48" w:history="1">
        <w:r w:rsidR="00EE317B" w:rsidRPr="003D5038">
          <w:rPr>
            <w:rStyle w:val="ac"/>
            <w:rFonts w:ascii="Georgia" w:hAnsi="Georgia"/>
            <w:color w:val="365F91" w:themeColor="accent1" w:themeShade="BF"/>
            <w:sz w:val="24"/>
            <w:szCs w:val="24"/>
          </w:rPr>
          <w:t>Дополнительный офис №1</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Сахарова, д. 1а (ТД «Ваш Быт»)</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570-48-02, 570-48-03</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49" w:history="1">
        <w:r w:rsidR="00EE317B" w:rsidRPr="003D5038">
          <w:rPr>
            <w:rStyle w:val="ac"/>
            <w:rFonts w:ascii="Georgia" w:hAnsi="Georgia"/>
            <w:color w:val="365F91" w:themeColor="accent1" w:themeShade="BF"/>
            <w:sz w:val="24"/>
            <w:szCs w:val="24"/>
          </w:rPr>
          <w:t>Дополнительный офис №2</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Даурская, д. 25</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298-40-33, 298-44-21, 298-42-94</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0" w:history="1">
        <w:r w:rsidR="00EE317B" w:rsidRPr="003D5038">
          <w:rPr>
            <w:rStyle w:val="ac"/>
            <w:rFonts w:ascii="Georgia" w:hAnsi="Georgia"/>
            <w:color w:val="365F91" w:themeColor="accent1" w:themeShade="BF"/>
            <w:sz w:val="24"/>
            <w:szCs w:val="24"/>
          </w:rPr>
          <w:t>Дополнительный офис №3</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Амирхана, д. 25</w:t>
      </w:r>
    </w:p>
    <w:p w:rsidR="00EE317B" w:rsidRPr="003D5038" w:rsidRDefault="00EE317B" w:rsidP="00EE317B">
      <w:pPr>
        <w:spacing w:after="0" w:line="240" w:lineRule="auto"/>
      </w:pPr>
      <w:r w:rsidRPr="003D5038">
        <w:rPr>
          <w:rFonts w:ascii="Georgia" w:hAnsi="Georgia"/>
          <w:sz w:val="24"/>
          <w:szCs w:val="24"/>
        </w:rPr>
        <w:t>Телефон: (843) 556-48-24, 521-58-47, 556-57-53</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1" w:history="1">
        <w:r w:rsidR="00EE317B" w:rsidRPr="003D5038">
          <w:rPr>
            <w:rStyle w:val="ac"/>
            <w:rFonts w:ascii="Georgia" w:hAnsi="Georgia"/>
            <w:color w:val="365F91" w:themeColor="accent1" w:themeShade="BF"/>
            <w:sz w:val="24"/>
            <w:szCs w:val="24"/>
          </w:rPr>
          <w:t>Дополнительный офис №4</w:t>
        </w:r>
      </w:hyperlink>
      <w:r w:rsidR="00EE317B" w:rsidRPr="003D5038">
        <w:rPr>
          <w:rStyle w:val="ac"/>
          <w:rFonts w:ascii="Georgia" w:hAnsi="Georgia"/>
          <w:color w:val="365F91" w:themeColor="accent1" w:themeShade="BF"/>
          <w:sz w:val="24"/>
          <w:szCs w:val="24"/>
        </w:rPr>
        <w:t xml:space="preserve"> </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Мавлютова, д. 9</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228-73-25, 228-73-35,  224-33-33</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2" w:history="1">
        <w:r w:rsidR="00EE317B" w:rsidRPr="003D5038">
          <w:rPr>
            <w:rStyle w:val="ac"/>
            <w:rFonts w:ascii="Georgia" w:hAnsi="Georgia"/>
            <w:color w:val="365F91" w:themeColor="accent1" w:themeShade="BF"/>
            <w:sz w:val="24"/>
            <w:szCs w:val="24"/>
          </w:rPr>
          <w:t>Дополнительный офис №5</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Ямашева, д. 37б (напротив ТЦ «Парк Хаус»)</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523-74-57, 523-74-63</w:t>
      </w:r>
    </w:p>
    <w:p w:rsidR="00EE317B" w:rsidRPr="003D5038" w:rsidRDefault="00EE317B" w:rsidP="00EE317B">
      <w:pPr>
        <w:pStyle w:val="ab"/>
        <w:spacing w:before="0" w:beforeAutospacing="0" w:after="0" w:afterAutospacing="0"/>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3" w:history="1">
        <w:r w:rsidR="00EE317B" w:rsidRPr="003D5038">
          <w:rPr>
            <w:rStyle w:val="ac"/>
            <w:rFonts w:ascii="Georgia" w:hAnsi="Georgia"/>
            <w:color w:val="365F91" w:themeColor="accent1" w:themeShade="BF"/>
            <w:sz w:val="24"/>
            <w:szCs w:val="24"/>
          </w:rPr>
          <w:t>Дополнительный офис №6</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Мира, д. 5 (поселок Дербышки)</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239-93-68, 239-93-88</w:t>
      </w:r>
    </w:p>
    <w:p w:rsidR="00EE317B" w:rsidRPr="003D5038" w:rsidRDefault="00EE317B" w:rsidP="00EE317B">
      <w:pPr>
        <w:pStyle w:val="ab"/>
        <w:spacing w:before="0" w:beforeAutospacing="0" w:after="0" w:afterAutospacing="0"/>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4" w:history="1">
        <w:r w:rsidR="00EE317B" w:rsidRPr="003D5038">
          <w:rPr>
            <w:rStyle w:val="ac"/>
            <w:rFonts w:ascii="Georgia" w:hAnsi="Georgia"/>
            <w:color w:val="365F91" w:themeColor="accent1" w:themeShade="BF"/>
            <w:sz w:val="24"/>
            <w:szCs w:val="24"/>
          </w:rPr>
          <w:t>Дополнительный офис №7</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Серова, д. 51/11</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237-58-95, 237-57-62 (82)</w:t>
      </w:r>
    </w:p>
    <w:p w:rsidR="00EE317B" w:rsidRPr="003D5038" w:rsidRDefault="00EE317B" w:rsidP="00EE317B">
      <w:pPr>
        <w:pStyle w:val="ab"/>
        <w:spacing w:before="0" w:beforeAutospacing="0" w:after="0" w:afterAutospacing="0"/>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5" w:history="1">
        <w:r w:rsidR="00EE317B" w:rsidRPr="003D5038">
          <w:rPr>
            <w:rStyle w:val="ac"/>
            <w:rFonts w:ascii="Georgia" w:hAnsi="Georgia"/>
            <w:color w:val="365F91" w:themeColor="accent1" w:themeShade="BF"/>
            <w:sz w:val="24"/>
            <w:szCs w:val="24"/>
          </w:rPr>
          <w:t>Дополнительный офис №8</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Губкина, д. 40а</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273-44-60, 273-30-10 (факс)</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6" w:history="1">
        <w:r w:rsidR="00EE317B" w:rsidRPr="003D5038">
          <w:rPr>
            <w:rStyle w:val="ac"/>
            <w:rFonts w:ascii="Georgia" w:hAnsi="Georgia"/>
            <w:color w:val="365F91" w:themeColor="accent1" w:themeShade="BF"/>
            <w:sz w:val="24"/>
            <w:szCs w:val="24"/>
          </w:rPr>
          <w:t>Дополнительный офис №9</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Зорге, д. 95</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261-90-11, 261-88-57, 261-89-34, 261-87-84</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7" w:history="1">
        <w:r w:rsidR="00EE317B" w:rsidRPr="003D5038">
          <w:rPr>
            <w:rStyle w:val="ac"/>
            <w:rFonts w:ascii="Georgia" w:hAnsi="Georgia"/>
            <w:color w:val="365F91" w:themeColor="accent1" w:themeShade="BF"/>
            <w:sz w:val="24"/>
            <w:szCs w:val="24"/>
          </w:rPr>
          <w:t>Дополнительный офис №10</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Фрунзе, д. 9</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554-13-55, 554-05-29, 554-11-42, 554-11-72</w:t>
      </w:r>
    </w:p>
    <w:p w:rsidR="0003139A" w:rsidRDefault="0003139A"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8" w:history="1">
        <w:r w:rsidR="00EE317B" w:rsidRPr="003D5038">
          <w:rPr>
            <w:rStyle w:val="ac"/>
            <w:rFonts w:ascii="Georgia" w:hAnsi="Georgia"/>
            <w:color w:val="365F91" w:themeColor="accent1" w:themeShade="BF"/>
            <w:sz w:val="24"/>
            <w:szCs w:val="24"/>
          </w:rPr>
          <w:t>Оперкасса</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Межлаука, д. 13 (здание Колхозного рынка)</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292-24-01</w:t>
      </w:r>
    </w:p>
    <w:p w:rsidR="00EE317B" w:rsidRPr="003D5038" w:rsidRDefault="00EE317B" w:rsidP="00EE317B">
      <w:pPr>
        <w:spacing w:after="0" w:line="240" w:lineRule="auto"/>
      </w:pPr>
    </w:p>
    <w:p w:rsidR="003A49E4" w:rsidRPr="003A49E4" w:rsidRDefault="003A49E4" w:rsidP="00EE317B">
      <w:pPr>
        <w:spacing w:after="0" w:line="240" w:lineRule="auto"/>
        <w:rPr>
          <w:sz w:val="20"/>
          <w:szCs w:val="20"/>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59" w:history="1">
        <w:r w:rsidR="00EE317B" w:rsidRPr="003D5038">
          <w:rPr>
            <w:rStyle w:val="ac"/>
            <w:rFonts w:ascii="Georgia" w:hAnsi="Georgia"/>
            <w:color w:val="365F91" w:themeColor="accent1" w:themeShade="BF"/>
            <w:sz w:val="24"/>
            <w:szCs w:val="24"/>
          </w:rPr>
          <w:t>Оперкасса</w:t>
        </w:r>
      </w:hyperlink>
      <w:r w:rsidR="00EE317B" w:rsidRPr="003D5038">
        <w:rPr>
          <w:rStyle w:val="ac"/>
          <w:rFonts w:ascii="Georgia" w:hAnsi="Georgia"/>
          <w:color w:val="365F91" w:themeColor="accent1" w:themeShade="BF"/>
          <w:sz w:val="24"/>
          <w:szCs w:val="24"/>
        </w:rPr>
        <w:t xml:space="preserve"> </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Татарстан, д. 7</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221-17-23</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0" w:history="1">
        <w:r w:rsidR="00EE317B" w:rsidRPr="003D5038">
          <w:rPr>
            <w:rStyle w:val="ac"/>
            <w:rFonts w:ascii="Georgia" w:hAnsi="Georgia"/>
            <w:color w:val="365F91" w:themeColor="accent1" w:themeShade="BF"/>
            <w:sz w:val="24"/>
            <w:szCs w:val="24"/>
          </w:rPr>
          <w:t>Оперкасса</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Казань, ул. Декабристов, д. 164</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(843) 560-66-19</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u w:val="single"/>
        </w:rPr>
      </w:pPr>
      <w:hyperlink r:id="rId61" w:history="1">
        <w:r w:rsidR="00EE317B" w:rsidRPr="003D5038">
          <w:rPr>
            <w:rStyle w:val="ac"/>
            <w:rFonts w:ascii="Georgia" w:hAnsi="Georgia"/>
            <w:color w:val="365F91" w:themeColor="accent1" w:themeShade="BF"/>
            <w:sz w:val="24"/>
            <w:szCs w:val="24"/>
            <w:u w:val="single"/>
          </w:rPr>
          <w:t>Филиал</w:t>
        </w:r>
      </w:hyperlink>
      <w:r w:rsidR="00EE317B" w:rsidRPr="003D5038">
        <w:rPr>
          <w:rStyle w:val="ac"/>
          <w:rFonts w:ascii="Georgia" w:hAnsi="Georgia"/>
          <w:color w:val="365F91" w:themeColor="accent1" w:themeShade="BF"/>
          <w:sz w:val="24"/>
          <w:szCs w:val="24"/>
          <w:u w:val="single"/>
        </w:rPr>
        <w:t xml:space="preserve"> в г. Москва</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Москва, Гостиничный проезд, д. 8, корп. 1</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(495) 482-12-03, 482-13-03, 482-23-11, 482-26-54, 482-26-74</w:t>
      </w:r>
    </w:p>
    <w:p w:rsidR="00EE317B" w:rsidRPr="003D5038" w:rsidRDefault="00EE317B" w:rsidP="00EE317B">
      <w:pPr>
        <w:spacing w:after="0" w:line="240" w:lineRule="auto"/>
        <w:rPr>
          <w:rStyle w:val="ac"/>
          <w:rFonts w:ascii="Georgia" w:hAnsi="Georgia"/>
          <w:color w:val="365F91" w:themeColor="accent1" w:themeShade="BF"/>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u w:val="single"/>
        </w:rPr>
      </w:pPr>
      <w:hyperlink r:id="rId62" w:history="1">
        <w:r w:rsidR="00EE317B" w:rsidRPr="003D5038">
          <w:rPr>
            <w:rStyle w:val="ac"/>
            <w:rFonts w:ascii="Georgia" w:hAnsi="Georgia"/>
            <w:color w:val="365F91" w:themeColor="accent1" w:themeShade="BF"/>
            <w:sz w:val="24"/>
            <w:szCs w:val="24"/>
            <w:u w:val="single"/>
          </w:rPr>
          <w:t>Филиал</w:t>
        </w:r>
      </w:hyperlink>
      <w:r w:rsidR="00EE317B" w:rsidRPr="003D5038">
        <w:rPr>
          <w:rStyle w:val="ac"/>
          <w:rFonts w:ascii="Georgia" w:hAnsi="Georgia"/>
          <w:color w:val="365F91" w:themeColor="accent1" w:themeShade="BF"/>
          <w:sz w:val="24"/>
          <w:szCs w:val="24"/>
          <w:u w:val="single"/>
        </w:rPr>
        <w:t xml:space="preserve"> в г. Набережные Челны</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Набережные Челны, ул. Гидростроителей, д. 4 (пос. ГЭС, 4/1/1)</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(8552) 70-15-85, 70-15-15</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3" w:history="1">
        <w:r w:rsidR="00EE317B" w:rsidRPr="003D5038">
          <w:rPr>
            <w:rStyle w:val="ac"/>
            <w:rFonts w:ascii="Georgia" w:hAnsi="Georgia"/>
            <w:color w:val="365F91" w:themeColor="accent1" w:themeShade="BF"/>
            <w:sz w:val="24"/>
            <w:szCs w:val="24"/>
          </w:rPr>
          <w:t>Дополнительный офис №1</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Набережные Челны, проспект Мира, д. 99, блок Б (Новый город, 25/07Б)</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(8552) 32-93-93, 32-94-49, 32-94-50, 32-94-51</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4" w:history="1">
        <w:r w:rsidR="00EE317B" w:rsidRPr="003D5038">
          <w:rPr>
            <w:rStyle w:val="ac"/>
            <w:rFonts w:ascii="Georgia" w:hAnsi="Georgia"/>
            <w:color w:val="365F91" w:themeColor="accent1" w:themeShade="BF"/>
            <w:sz w:val="24"/>
            <w:szCs w:val="24"/>
          </w:rPr>
          <w:t>Дополнительный офис №2</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Набережные Челны, ул. Ш. Усманова, д. 29 (Новый город, 40/06; пристрой к ж/д 40/06)</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(8552) 51-10-10, 51-39-19</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u w:val="single"/>
        </w:rPr>
      </w:pPr>
      <w:hyperlink r:id="rId65" w:history="1">
        <w:r w:rsidR="00EE317B" w:rsidRPr="003D5038">
          <w:rPr>
            <w:rStyle w:val="ac"/>
            <w:rFonts w:ascii="Georgia" w:hAnsi="Georgia"/>
            <w:color w:val="365F91" w:themeColor="accent1" w:themeShade="BF"/>
            <w:sz w:val="24"/>
            <w:szCs w:val="24"/>
            <w:u w:val="single"/>
          </w:rPr>
          <w:t>Филиал</w:t>
        </w:r>
      </w:hyperlink>
      <w:r w:rsidR="00EE317B" w:rsidRPr="003D5038">
        <w:rPr>
          <w:rStyle w:val="ac"/>
          <w:rFonts w:ascii="Georgia" w:hAnsi="Georgia"/>
          <w:color w:val="365F91" w:themeColor="accent1" w:themeShade="BF"/>
          <w:sz w:val="24"/>
          <w:szCs w:val="24"/>
          <w:u w:val="single"/>
        </w:rPr>
        <w:t xml:space="preserve"> в г. Нижнекамск</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Нижнекамск, Дом Бытовых услуг ПАО НКНХ</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(8555) 37-47-27, 37-47-60, 37-47-87, 37-47-90</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6" w:history="1">
        <w:r w:rsidR="00EE317B" w:rsidRPr="003D5038">
          <w:rPr>
            <w:rStyle w:val="ac"/>
            <w:rFonts w:ascii="Georgia" w:hAnsi="Georgia"/>
            <w:color w:val="365F91" w:themeColor="accent1" w:themeShade="BF"/>
            <w:sz w:val="24"/>
            <w:szCs w:val="24"/>
          </w:rPr>
          <w:t>Дополнительный офис №1</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Нижнекамск, ул. Ахтубинская, д. 2</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(8555) 42-47-24</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7" w:history="1">
        <w:r w:rsidR="00EE317B" w:rsidRPr="003D5038">
          <w:rPr>
            <w:rStyle w:val="ac"/>
            <w:rFonts w:ascii="Georgia" w:hAnsi="Georgia"/>
            <w:color w:val="365F91" w:themeColor="accent1" w:themeShade="BF"/>
            <w:sz w:val="24"/>
            <w:szCs w:val="24"/>
          </w:rPr>
          <w:t>Дополнительный офис №2</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Нижнекамск, проспект Строителей, д. 29а</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(8555) 42-71-02, 42-71-06,  42-71-25</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8" w:history="1">
        <w:r w:rsidR="00EE317B" w:rsidRPr="003D5038">
          <w:rPr>
            <w:rStyle w:val="ac"/>
            <w:rFonts w:ascii="Georgia" w:hAnsi="Georgia"/>
            <w:color w:val="365F91" w:themeColor="accent1" w:themeShade="BF"/>
            <w:sz w:val="24"/>
            <w:szCs w:val="24"/>
          </w:rPr>
          <w:t>Дополнительный офис №3</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Альметьевск, ул. Ленина, д. 123, пом.37Н</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(8553) 33-09-10, 33-20-51</w:t>
      </w:r>
    </w:p>
    <w:p w:rsidR="00EE317B" w:rsidRPr="003D5038" w:rsidRDefault="00EE317B" w:rsidP="00EE317B">
      <w:pPr>
        <w:spacing w:after="0" w:line="240" w:lineRule="auto"/>
      </w:pPr>
    </w:p>
    <w:p w:rsidR="00EE317B" w:rsidRPr="003D5038" w:rsidRDefault="00AA156D" w:rsidP="00EE317B">
      <w:pPr>
        <w:spacing w:after="0" w:line="240" w:lineRule="auto"/>
        <w:rPr>
          <w:rStyle w:val="ac"/>
          <w:rFonts w:ascii="Georgia" w:hAnsi="Georgia"/>
          <w:color w:val="365F91" w:themeColor="accent1" w:themeShade="BF"/>
          <w:sz w:val="24"/>
          <w:szCs w:val="24"/>
        </w:rPr>
      </w:pPr>
      <w:hyperlink r:id="rId69" w:history="1">
        <w:r w:rsidR="00EE317B" w:rsidRPr="003D5038">
          <w:rPr>
            <w:rStyle w:val="ac"/>
            <w:rFonts w:ascii="Georgia" w:hAnsi="Georgia"/>
            <w:color w:val="365F91" w:themeColor="accent1" w:themeShade="BF"/>
            <w:sz w:val="24"/>
            <w:szCs w:val="24"/>
          </w:rPr>
          <w:t>Дополнительный офис №4</w:t>
        </w:r>
      </w:hyperlink>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 Альметьевск, ул. Герцена, д. 94</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Телефон: (8553) 36-90-03</w:t>
      </w:r>
    </w:p>
    <w:p w:rsidR="00EE317B" w:rsidRPr="003D5038" w:rsidRDefault="00EE317B" w:rsidP="00EE317B">
      <w:pPr>
        <w:spacing w:after="0" w:line="240" w:lineRule="auto"/>
        <w:rPr>
          <w:rFonts w:ascii="Georgia" w:hAnsi="Georgia"/>
          <w:sz w:val="24"/>
          <w:szCs w:val="24"/>
        </w:rPr>
      </w:pPr>
    </w:p>
    <w:p w:rsidR="00EE317B" w:rsidRPr="003D5038" w:rsidRDefault="00AA156D" w:rsidP="00EE317B">
      <w:pPr>
        <w:spacing w:after="0" w:line="240" w:lineRule="auto"/>
        <w:rPr>
          <w:rStyle w:val="ac"/>
          <w:rFonts w:ascii="Georgia" w:hAnsi="Georgia"/>
          <w:color w:val="365F91" w:themeColor="accent1" w:themeShade="BF"/>
          <w:sz w:val="24"/>
          <w:szCs w:val="24"/>
          <w:u w:val="single"/>
        </w:rPr>
      </w:pPr>
      <w:hyperlink r:id="rId70" w:history="1">
        <w:r w:rsidR="00EE317B" w:rsidRPr="003D5038">
          <w:rPr>
            <w:rStyle w:val="ac"/>
            <w:rFonts w:ascii="Georgia" w:hAnsi="Georgia"/>
            <w:color w:val="365F91" w:themeColor="accent1" w:themeShade="BF"/>
            <w:sz w:val="24"/>
            <w:szCs w:val="24"/>
            <w:u w:val="single"/>
          </w:rPr>
          <w:t>Филиал</w:t>
        </w:r>
      </w:hyperlink>
      <w:r w:rsidR="00EE317B" w:rsidRPr="003D5038">
        <w:rPr>
          <w:rStyle w:val="ac"/>
          <w:rFonts w:ascii="Georgia" w:hAnsi="Georgia"/>
          <w:color w:val="365F91" w:themeColor="accent1" w:themeShade="BF"/>
          <w:sz w:val="24"/>
          <w:szCs w:val="24"/>
          <w:u w:val="single"/>
        </w:rPr>
        <w:t xml:space="preserve"> в г. Санкт-Петербург</w:t>
      </w:r>
    </w:p>
    <w:p w:rsidR="00EE317B" w:rsidRPr="003D5038" w:rsidRDefault="00EE317B" w:rsidP="00EE317B">
      <w:pPr>
        <w:spacing w:after="0" w:line="240" w:lineRule="auto"/>
        <w:rPr>
          <w:rFonts w:ascii="Georgia" w:hAnsi="Georgia"/>
          <w:sz w:val="24"/>
          <w:szCs w:val="24"/>
        </w:rPr>
      </w:pPr>
      <w:r w:rsidRPr="003D5038">
        <w:rPr>
          <w:rFonts w:ascii="Georgia" w:hAnsi="Georgia"/>
          <w:sz w:val="24"/>
          <w:szCs w:val="24"/>
        </w:rPr>
        <w:t>Место нахождения: г.</w:t>
      </w:r>
      <w:r w:rsidRPr="003D5038">
        <w:t xml:space="preserve"> </w:t>
      </w:r>
      <w:r w:rsidRPr="003D5038">
        <w:rPr>
          <w:rFonts w:ascii="Georgia" w:hAnsi="Georgia"/>
          <w:sz w:val="24"/>
          <w:szCs w:val="24"/>
        </w:rPr>
        <w:t>Санкт-Петербург, Большой пр. П.С., д.79а</w:t>
      </w:r>
    </w:p>
    <w:p w:rsidR="00EE317B" w:rsidRPr="00A747E1" w:rsidRDefault="00EE317B" w:rsidP="00EE317B">
      <w:pPr>
        <w:spacing w:after="0" w:line="240" w:lineRule="auto"/>
        <w:rPr>
          <w:rFonts w:asciiTheme="majorHAnsi" w:eastAsiaTheme="majorEastAsia" w:hAnsiTheme="majorHAnsi" w:cstheme="majorBidi"/>
          <w:b/>
          <w:bCs/>
          <w:noProof/>
          <w:color w:val="00B050"/>
          <w:sz w:val="20"/>
          <w:szCs w:val="20"/>
        </w:rPr>
      </w:pPr>
      <w:r w:rsidRPr="003D5038">
        <w:rPr>
          <w:rFonts w:ascii="Georgia" w:hAnsi="Georgia"/>
          <w:sz w:val="24"/>
          <w:szCs w:val="24"/>
        </w:rPr>
        <w:t>Телефон: (812) 386-81-27,  386-81-28, 386-81-29</w:t>
      </w:r>
    </w:p>
    <w:p w:rsidR="00653EAF" w:rsidRPr="007655FF" w:rsidRDefault="00653EAF" w:rsidP="00EE317B">
      <w:pPr>
        <w:pStyle w:val="1"/>
        <w:spacing w:before="0" w:line="240" w:lineRule="auto"/>
        <w:rPr>
          <w:b w:val="0"/>
          <w:bCs w:val="0"/>
          <w:noProof/>
          <w:color w:val="00B050"/>
          <w:sz w:val="20"/>
          <w:szCs w:val="20"/>
        </w:rPr>
      </w:pPr>
    </w:p>
    <w:sectPr w:rsidR="00653EAF" w:rsidRPr="007655FF" w:rsidSect="00686655">
      <w:headerReference w:type="default" r:id="rId71"/>
      <w:footerReference w:type="default" r:id="rId72"/>
      <w:headerReference w:type="first" r:id="rId73"/>
      <w:footerReference w:type="first" r:id="rId74"/>
      <w:pgSz w:w="11906" w:h="16838"/>
      <w:pgMar w:top="851"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74C" w:rsidRDefault="005B174C" w:rsidP="0029002E">
      <w:pPr>
        <w:spacing w:after="0" w:line="240" w:lineRule="auto"/>
      </w:pPr>
      <w:r>
        <w:separator/>
      </w:r>
    </w:p>
  </w:endnote>
  <w:endnote w:type="continuationSeparator" w:id="0">
    <w:p w:rsidR="005B174C" w:rsidRDefault="005B174C" w:rsidP="00290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OfficinaSansBookC-Italic">
    <w:panose1 w:val="00000000000000000000"/>
    <w:charset w:val="CC"/>
    <w:family w:val="auto"/>
    <w:notTrueType/>
    <w:pitch w:val="default"/>
    <w:sig w:usb0="00000201" w:usb1="00000000" w:usb2="00000000" w:usb3="00000000" w:csb0="00000004" w:csb1="00000000"/>
  </w:font>
  <w:font w:name="Georgia-Bold">
    <w:altName w:val="Times New Roman"/>
    <w:panose1 w:val="00000000000000000000"/>
    <w:charset w:val="CC"/>
    <w:family w:val="auto"/>
    <w:notTrueType/>
    <w:pitch w:val="default"/>
    <w:sig w:usb0="00000203" w:usb1="00000000" w:usb2="00000000" w:usb3="00000000" w:csb0="00000005"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697936"/>
      <w:docPartObj>
        <w:docPartGallery w:val="Page Numbers (Bottom of Page)"/>
        <w:docPartUnique/>
      </w:docPartObj>
    </w:sdtPr>
    <w:sdtEndPr/>
    <w:sdtContent>
      <w:p w:rsidR="005B174C" w:rsidRDefault="00AA156D">
        <w:pPr>
          <w:pStyle w:val="a9"/>
        </w:pPr>
        <w:r>
          <w:rPr>
            <w:noProof/>
          </w:rPr>
          <w:pict>
            <v:group id="Group 4" o:spid="_x0000_s4102" style="position:absolute;margin-left:83.3pt;margin-top:1.05pt;width:510.25pt;height:42.5pt;z-index:251661312;mso-position-horizontal-relative:page;mso-position-vertical-relative:bottom-margin-area"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">
              <v:shapetype id="_x0000_t202" coordsize="21600,21600" o:spt="202" path="m,l,21600r21600,l21600,xe">
                <v:stroke joinstyle="miter"/>
                <v:path gradientshapeok="t" o:connecttype="rect"/>
              </v:shapetype>
              <v:shape id="Text Box 5" o:spid="_x0000_s4106"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5" inset="0,0,0,0">
                  <w:txbxContent>
                    <w:p w:rsidR="005B174C" w:rsidRPr="004E0831" w:rsidRDefault="005B174C" w:rsidP="00BF3E09">
                      <w:pPr>
                        <w:spacing w:after="0" w:line="240" w:lineRule="auto"/>
                        <w:jc w:val="center"/>
                        <w:rPr>
                          <w:rFonts w:ascii="Georgia" w:hAnsi="Georgia"/>
                          <w:b/>
                          <w:sz w:val="40"/>
                          <w:szCs w:val="40"/>
                        </w:rPr>
                      </w:pPr>
                      <w:r w:rsidRPr="004E0831">
                        <w:rPr>
                          <w:rFonts w:ascii="Georgia" w:hAnsi="Georgia"/>
                          <w:b/>
                          <w:sz w:val="40"/>
                          <w:szCs w:val="40"/>
                        </w:rPr>
                        <w:fldChar w:fldCharType="begin"/>
                      </w:r>
                      <w:r w:rsidRPr="004E0831">
                        <w:rPr>
                          <w:rFonts w:ascii="Georgia" w:hAnsi="Georgia"/>
                          <w:b/>
                          <w:sz w:val="40"/>
                          <w:szCs w:val="40"/>
                        </w:rPr>
                        <w:instrText xml:space="preserve"> PAGE    \* MERGEFORMAT </w:instrText>
                      </w:r>
                      <w:r w:rsidRPr="004E0831">
                        <w:rPr>
                          <w:rFonts w:ascii="Georgia" w:hAnsi="Georgia"/>
                          <w:b/>
                          <w:sz w:val="40"/>
                          <w:szCs w:val="40"/>
                        </w:rPr>
                        <w:fldChar w:fldCharType="separate"/>
                      </w:r>
                      <w:r w:rsidRPr="00A66470">
                        <w:rPr>
                          <w:rFonts w:ascii="Georgia" w:hAnsi="Georgia"/>
                          <w:b/>
                          <w:noProof/>
                          <w:color w:val="8C8C8C" w:themeColor="background1" w:themeShade="8C"/>
                          <w:sz w:val="40"/>
                          <w:szCs w:val="40"/>
                        </w:rPr>
                        <w:t>27</w:t>
                      </w:r>
                      <w:r w:rsidRPr="004E0831">
                        <w:rPr>
                          <w:rFonts w:ascii="Georgia" w:hAnsi="Georgia"/>
                          <w:b/>
                          <w:sz w:val="40"/>
                          <w:szCs w:val="40"/>
                        </w:rPr>
                        <w:fldChar w:fldCharType="end"/>
                      </w:r>
                    </w:p>
                  </w:txbxContent>
                </v:textbox>
              </v:shape>
              <v:group id="Group 6" o:spid="_x0000_s4103"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4YV2HCAAAA2wAAAA8A&#10;AAAAAAAAAAAAAAAAqgIAAGRycy9kb3ducmV2LnhtbFBLBQYAAAAABAAEAPoAAACZ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 o:spid="_x0000_s4105"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mL68MAAADbAAAADwAAAGRycy9kb3ducmV2LnhtbESPT4vCMBTE78J+h/AW9iKaWtCVapRd&#10;YUGP/mPx9miebbF5KUms9dsbQfA4zMxvmPmyM7VoyfnKsoLRMAFBnFtdcaHgsP8bTEH4gKyxtkwK&#10;7uRhufjozTHT9sZbanehEBHCPkMFZQhNJqXPSzLoh7Yhjt7ZOoMhSldI7fAW4aaWaZJMpMGK40KJ&#10;Da1Kyi+7q1HQ1/1jalfry/7fbY5tSm76e/pW6uuz+5mBCNSFd/jVXmsF6RieX+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Ji+vDAAAA2wAAAA8AAAAAAAAAAAAA&#10;AAAAoQIAAGRycy9kb3ducmV2LnhtbFBLBQYAAAAABAAEAPkAAACRAwAAAAA=&#10;" strokecolor="#a5a5a5 [2092]"/>
                <v:shape id="AutoShape 8" o:spid="_x0000_s4104"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HnKcYAAADbAAAADwAAAGRycy9kb3ducmV2LnhtbESPT2vCQBTE7wW/w/KE3upGD2lJXaUU&#10;tDlIS42Hentkn0kw+zZkN3/Mp+8WCh6Hmd8Ms96OphY9ta6yrGC5iEAQ51ZXXCg4ZbunFxDOI2us&#10;LZOCGznYbmYPa0y0Hfib+qMvRChhl6CC0vsmkdLlJRl0C9sQB+9iW4M+yLaQusUhlJtarqIolgYr&#10;DgslNvReUn49dkbBSk8/2WH/me/6oUvP5yL7+IonpR7n49srCE+jv4f/6VQH7hn+voQf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4h5ynGAAAA2wAAAA8AAAAAAAAA&#10;AAAAAAAAoQIAAGRycy9kb3ducmV2LnhtbFBLBQYAAAAABAAEAPkAAACUAwAAAAA=&#10;" adj="20904" strokecolor="#a5a5a5 [2092]"/>
              </v:group>
              <w10:wrap anchorx="page" anchory="margin"/>
            </v:group>
          </w:pic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5B174C" w:rsidP="007F4E00">
    <w:pPr>
      <w:pStyle w:val="a9"/>
      <w:tabs>
        <w:tab w:val="clear" w:pos="4677"/>
        <w:tab w:val="clear" w:pos="9355"/>
        <w:tab w:val="left" w:pos="8135"/>
      </w:tabs>
    </w:pPr>
    <w:r w:rsidRPr="00F12440">
      <w:rPr>
        <w:noProof/>
      </w:rPr>
      <w:drawing>
        <wp:anchor distT="0" distB="0" distL="114300" distR="114300" simplePos="0" relativeHeight="251669504" behindDoc="0" locked="0" layoutInCell="1" allowOverlap="1" wp14:anchorId="1BE384AF" wp14:editId="0265F309">
          <wp:simplePos x="0" y="0"/>
          <wp:positionH relativeFrom="margin">
            <wp:posOffset>-27940</wp:posOffset>
          </wp:positionH>
          <wp:positionV relativeFrom="paragraph">
            <wp:posOffset>-119380</wp:posOffset>
          </wp:positionV>
          <wp:extent cx="1077595" cy="265430"/>
          <wp:effectExtent l="0" t="0" r="0" b="0"/>
          <wp:wrapTopAndBottom/>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lum/>
                  </a:blip>
                  <a:srcRect l="1573" t="5579" r="1437" b="37698"/>
                  <a:stretch/>
                </pic:blipFill>
                <pic:spPr bwMode="auto">
                  <a:xfrm>
                    <a:off x="0" y="0"/>
                    <a:ext cx="1077595" cy="2654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156D">
      <w:rPr>
        <w:noProof/>
      </w:rPr>
      <w:pict>
        <v:group id="Group 26" o:spid="_x0000_s4097" style="position:absolute;margin-left:83.3pt;margin-top:1.05pt;width:510.25pt;height:42.5pt;z-index:251667456;mso-position-horizontal-relative:page;mso-position-vertical-relative:bottom-margin-area"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">
          <v:shapetype id="_x0000_t202" coordsize="21600,21600" o:spt="202" path="m,l,21600r21600,l21600,xe">
            <v:stroke joinstyle="miter"/>
            <v:path gradientshapeok="t" o:connecttype="rect"/>
          </v:shapetype>
          <v:shape id="Text Box 27" o:spid="_x0000_s4101"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style="mso-next-textbox:#Text Box 27" inset="0,0,0,0">
              <w:txbxContent>
                <w:p w:rsidR="005B174C" w:rsidRPr="004E0831" w:rsidRDefault="005B174C" w:rsidP="00D004AE">
                  <w:pPr>
                    <w:spacing w:after="0" w:line="240" w:lineRule="auto"/>
                    <w:jc w:val="center"/>
                    <w:rPr>
                      <w:rFonts w:ascii="Georgia" w:hAnsi="Georgia"/>
                      <w:b/>
                      <w:sz w:val="40"/>
                      <w:szCs w:val="40"/>
                    </w:rPr>
                  </w:pPr>
                  <w:r w:rsidRPr="004E0831">
                    <w:rPr>
                      <w:rFonts w:ascii="Georgia" w:hAnsi="Georgia"/>
                      <w:b/>
                      <w:sz w:val="40"/>
                      <w:szCs w:val="40"/>
                    </w:rPr>
                    <w:fldChar w:fldCharType="begin"/>
                  </w:r>
                  <w:r w:rsidRPr="004E0831">
                    <w:rPr>
                      <w:rFonts w:ascii="Georgia" w:hAnsi="Georgia"/>
                      <w:b/>
                      <w:sz w:val="40"/>
                      <w:szCs w:val="40"/>
                    </w:rPr>
                    <w:instrText xml:space="preserve"> PAGE    \* MERGEFORMAT </w:instrText>
                  </w:r>
                  <w:r w:rsidRPr="004E0831">
                    <w:rPr>
                      <w:rFonts w:ascii="Georgia" w:hAnsi="Georgia"/>
                      <w:b/>
                      <w:sz w:val="40"/>
                      <w:szCs w:val="40"/>
                    </w:rPr>
                    <w:fldChar w:fldCharType="separate"/>
                  </w:r>
                  <w:r w:rsidR="00AA156D" w:rsidRPr="00AA156D">
                    <w:rPr>
                      <w:rFonts w:ascii="Georgia" w:hAnsi="Georgia"/>
                      <w:b/>
                      <w:noProof/>
                      <w:color w:val="8C8C8C" w:themeColor="background1" w:themeShade="8C"/>
                      <w:sz w:val="40"/>
                      <w:szCs w:val="40"/>
                    </w:rPr>
                    <w:t>20</w:t>
                  </w:r>
                  <w:r w:rsidRPr="004E0831">
                    <w:rPr>
                      <w:rFonts w:ascii="Georgia" w:hAnsi="Georgia"/>
                      <w:b/>
                      <w:sz w:val="40"/>
                      <w:szCs w:val="40"/>
                    </w:rPr>
                    <w:fldChar w:fldCharType="end"/>
                  </w:r>
                </w:p>
              </w:txbxContent>
            </v:textbox>
          </v:shape>
          <v:group id="Group 28" o:spid="_x0000_s409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FEz8IAAADaAAAADwAAAGRycy9kb3ducmV2LnhtbESPQWvCQBSE74X+h+UV&#10;ems2SrAluooISpBeGtuS4yP7TBazb0N2G+O/7wqFHoeZ+YZZbSbbiZEGbxwrmCUpCOLaacONgs/T&#10;/uUNhA/IGjvHpOBGHjbrx4cV5tpd+YPGMjQiQtjnqKANoc+l9HVLFn3ieuLond1gMUQ5NFIPeI1w&#10;28l5mi6kRcNxocWedi3Vl/LHKvjamoyy7+r4ntZEhZbVoTSZUs9P03YJItAU/sN/7UIreIX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lxRM/CAAAA2gAAAA8A&#10;AAAAAAAAAAAAAAAAqgIAAGRycy9kb3ducmV2LnhtbFBLBQYAAAAABAAEAPoAAACZ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4100"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5HVcAAAADbAAAADwAAAGRycy9kb3ducmV2LnhtbERPS4vCMBC+L/gfwgheRFN7cKUaRQVB&#10;j+sD8TY0Y1tsJiWJtf77jbCwt/n4nrNYdaYWLTlfWVYwGScgiHOrKy4UnE+70QyED8gaa8uk4E0e&#10;Vsve1wIzbV/8Q+0xFCKGsM9QQRlCk0np85IM+rFtiCN3t85giNAVUjt8xXBTyzRJptJgxbGhxIa2&#10;JeWP49MoGOrhJbXb/eN0dYdLm5KbbW7fSg363XoOIlAX/sV/7r2O8yfw+SUeIJ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eR1XAAAAA2wAAAA8AAAAAAAAAAAAAAAAA&#10;oQIAAGRycy9kb3ducmV2LnhtbFBLBQYAAAAABAAEAPkAAACOAwAAAAA=&#10;" strokecolor="#a5a5a5 [2092]"/>
            <v:shape id="AutoShape 30" o:spid="_x0000_s4099"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48QAAADbAAAADwAAAGRycy9kb3ducmV2LnhtbERPS2vCQBC+C/0PyxR6001FgqSuUgrW&#10;HEqLxkO9DdkxCWZnQ3bzaH59t1DwNh/fcza70dSip9ZVlhU8LyIQxLnVFRcKztl+vgbhPLLG2jIp&#10;+CEHu+3DbIOJtgMfqT/5QoQQdgkqKL1vEildXpJBt7ANceCutjXoA2wLqVscQrip5TKKYmmw4tBQ&#10;YkNvJeW3U2cULPX0nX28f+b7fujSy6XIDl/xpNTT4/j6AsLT6O/if3eqw/wV/P0SDp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n7PjxAAAANsAAAAPAAAAAAAAAAAA&#10;AAAAAKECAABkcnMvZG93bnJldi54bWxQSwUGAAAAAAQABAD5AAAAkgMAAAAA&#10;" adj="20904" strokecolor="#a5a5a5 [2092]"/>
          </v:group>
          <w10:wrap anchorx="page" anchory="margin"/>
        </v:group>
      </w:pic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5B174C" w:rsidP="007F4E00">
    <w:pPr>
      <w:pStyle w:val="a9"/>
      <w:tabs>
        <w:tab w:val="clear" w:pos="4677"/>
        <w:tab w:val="clear" w:pos="9355"/>
        <w:tab w:val="left" w:pos="813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5B174C">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AA156D" w:rsidP="007F4E00">
    <w:pPr>
      <w:pStyle w:val="a9"/>
      <w:tabs>
        <w:tab w:val="clear" w:pos="4677"/>
        <w:tab w:val="clear" w:pos="9355"/>
        <w:tab w:val="left" w:pos="8135"/>
      </w:tabs>
    </w:pPr>
    <w:r>
      <w:rPr>
        <w:noProof/>
      </w:rPr>
      <w:pict>
        <v:group id="_x0000_s4176" style="position:absolute;margin-left:84.15pt;margin-top:.4pt;width:510.25pt;height:44.75pt;z-index:251691008;mso-position-horizontal-relative:page;mso-position-vertical-relative:bottom-margin-area"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">
          <v:shapetype id="_x0000_t202" coordsize="21600,21600" o:spt="202" path="m,l,21600r21600,l21600,xe">
            <v:stroke joinstyle="miter"/>
            <v:path gradientshapeok="t" o:connecttype="rect"/>
          </v:shapetype>
          <v:shape id="Text Box 27" o:spid="_x0000_s417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B174C" w:rsidRPr="005B174C" w:rsidRDefault="005B174C" w:rsidP="0062078A">
                  <w:pPr>
                    <w:spacing w:after="0" w:line="240" w:lineRule="auto"/>
                    <w:jc w:val="both"/>
                    <w:rPr>
                      <w:rFonts w:ascii="Georgia" w:hAnsi="Georgia"/>
                      <w:b/>
                      <w:sz w:val="40"/>
                      <w:szCs w:val="40"/>
                      <w:lang w:val="en-US"/>
                    </w:rPr>
                  </w:pPr>
                </w:p>
              </w:txbxContent>
            </v:textbox>
          </v:shape>
          <v:group id="Group 28" o:spid="_x0000_s417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FEz8IAAADaAAAADwAAAGRycy9kb3ducmV2LnhtbESPQWvCQBSE74X+h+UV&#10;ems2SrAluooISpBeGtuS4yP7TBazb0N2G+O/7wqFHoeZ+YZZbSbbiZEGbxwrmCUpCOLaacONgs/T&#10;/uUNhA/IGjvHpOBGHjbrx4cV5tpd+YPGMjQiQtjnqKANoc+l9HVLFn3ieuLond1gMUQ5NFIPeI1w&#10;28l5mi6kRcNxocWedi3Vl/LHKvjamoyy7+r4ntZEhZbVoTSZUs9P03YJItAU/sN/7UIreIX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lxRM/CAAAA2gAAAA8A&#10;AAAAAAAAAAAAAAAAqgIAAGRycy9kb3ducmV2LnhtbFBLBQYAAAAABAAEAPoAAACZ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417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5HVcAAAADbAAAADwAAAGRycy9kb3ducmV2LnhtbERPS4vCMBC+L/gfwgheRFN7cKUaRQVB&#10;j+sD8TY0Y1tsJiWJtf77jbCwt/n4nrNYdaYWLTlfWVYwGScgiHOrKy4UnE+70QyED8gaa8uk4E0e&#10;Vsve1wIzbV/8Q+0xFCKGsM9QQRlCk0np85IM+rFtiCN3t85giNAVUjt8xXBTyzRJptJgxbGhxIa2&#10;JeWP49MoGOrhJbXb/eN0dYdLm5KbbW7fSg363XoOIlAX/sV/7r2O8yfw+SUeIJ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eR1XAAAAA2wAAAA8AAAAAAAAAAAAAAAAA&#10;oQIAAGRycy9kb3ducmV2LnhtbFBLBQYAAAAABAAEAPkAAACOAwAAAAA=&#10;" strokecolor="#a5a5a5 [2092]"/>
            <v:shape id="AutoShape 30" o:spid="_x0000_s418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48QAAADbAAAADwAAAGRycy9kb3ducmV2LnhtbERPS2vCQBC+C/0PyxR6001FgqSuUgrW&#10;HEqLxkO9DdkxCWZnQ3bzaH59t1DwNh/fcza70dSip9ZVlhU8LyIQxLnVFRcKztl+vgbhPLLG2jIp&#10;+CEHu+3DbIOJtgMfqT/5QoQQdgkqKL1vEildXpJBt7ANceCutjXoA2wLqVscQrip5TKKYmmw4tBQ&#10;YkNvJeW3U2cULPX0nX28f+b7fujSy6XIDl/xpNTT4/j6AsLT6O/if3eqw/wV/P0SDp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n7PjxAAAANsAAAAPAAAAAAAAAAAA&#10;AAAAAKECAABkcnMvZG93bnJldi54bWxQSwUGAAAAAAQABAD5AAAAkgMAAAAA&#10;" adj="20904" strokecolor="#a5a5a5 [2092]"/>
          </v:group>
          <w10:wrap anchorx="page" anchory="margin"/>
        </v:group>
      </w:pict>
    </w:r>
    <w:r w:rsidR="005B174C" w:rsidRPr="00F12440">
      <w:rPr>
        <w:noProof/>
      </w:rPr>
      <w:drawing>
        <wp:anchor distT="0" distB="0" distL="114300" distR="114300" simplePos="0" relativeHeight="251689984" behindDoc="0" locked="0" layoutInCell="1" allowOverlap="1" wp14:anchorId="24A6BD28" wp14:editId="2BB37396">
          <wp:simplePos x="0" y="0"/>
          <wp:positionH relativeFrom="margin">
            <wp:posOffset>-27940</wp:posOffset>
          </wp:positionH>
          <wp:positionV relativeFrom="paragraph">
            <wp:posOffset>-87630</wp:posOffset>
          </wp:positionV>
          <wp:extent cx="1077595" cy="265430"/>
          <wp:effectExtent l="0" t="0" r="0" b="0"/>
          <wp:wrapTopAndBottom/>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lum/>
                  </a:blip>
                  <a:srcRect l="1573" t="5579" r="1437" b="37698"/>
                  <a:stretch/>
                </pic:blipFill>
                <pic:spPr bwMode="auto">
                  <a:xfrm>
                    <a:off x="0" y="0"/>
                    <a:ext cx="1077595" cy="2654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ict>
        <v:group id="_x0000_s4159" style="position:absolute;margin-left:84.15pt;margin-top:.4pt;width:510.25pt;height:44.75pt;z-index:251685888;mso-position-horizontal-relative:page;mso-position-vertical-relative:bottom-margin-area"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">
          <v:shape id="Text Box 27" o:spid="_x0000_s4160"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B174C" w:rsidRPr="004E0831" w:rsidRDefault="005B174C" w:rsidP="0062078A">
                  <w:pPr>
                    <w:spacing w:after="0" w:line="240" w:lineRule="auto"/>
                    <w:jc w:val="center"/>
                    <w:rPr>
                      <w:rFonts w:ascii="Georgia" w:hAnsi="Georgia"/>
                      <w:b/>
                      <w:sz w:val="40"/>
                      <w:szCs w:val="40"/>
                    </w:rPr>
                  </w:pPr>
                  <w:r w:rsidRPr="004E0831">
                    <w:rPr>
                      <w:rFonts w:ascii="Georgia" w:hAnsi="Georgia"/>
                      <w:b/>
                      <w:sz w:val="40"/>
                      <w:szCs w:val="40"/>
                    </w:rPr>
                    <w:fldChar w:fldCharType="begin"/>
                  </w:r>
                  <w:r w:rsidRPr="004E0831">
                    <w:rPr>
                      <w:rFonts w:ascii="Georgia" w:hAnsi="Georgia"/>
                      <w:b/>
                      <w:sz w:val="40"/>
                      <w:szCs w:val="40"/>
                    </w:rPr>
                    <w:instrText xml:space="preserve"> PAGE    \* MERGEFORMAT </w:instrText>
                  </w:r>
                  <w:r w:rsidRPr="004E0831">
                    <w:rPr>
                      <w:rFonts w:ascii="Georgia" w:hAnsi="Georgia"/>
                      <w:b/>
                      <w:sz w:val="40"/>
                      <w:szCs w:val="40"/>
                    </w:rPr>
                    <w:fldChar w:fldCharType="separate"/>
                  </w:r>
                  <w:r w:rsidR="00AA156D" w:rsidRPr="00AA156D">
                    <w:rPr>
                      <w:rFonts w:ascii="Georgia" w:hAnsi="Georgia"/>
                      <w:b/>
                      <w:noProof/>
                      <w:color w:val="8C8C8C" w:themeColor="background1" w:themeShade="8C"/>
                      <w:sz w:val="40"/>
                      <w:szCs w:val="40"/>
                    </w:rPr>
                    <w:t>80</w:t>
                  </w:r>
                  <w:r w:rsidRPr="004E0831">
                    <w:rPr>
                      <w:rFonts w:ascii="Georgia" w:hAnsi="Georgia"/>
                      <w:b/>
                      <w:sz w:val="40"/>
                      <w:szCs w:val="40"/>
                    </w:rPr>
                    <w:fldChar w:fldCharType="end"/>
                  </w:r>
                </w:p>
              </w:txbxContent>
            </v:textbox>
          </v:shape>
          <v:group id="Group 28" o:spid="_x0000_s4161"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FEz8IAAADaAAAADwAAAGRycy9kb3ducmV2LnhtbESPQWvCQBSE74X+h+UV&#10;ems2SrAluooISpBeGtuS4yP7TBazb0N2G+O/7wqFHoeZ+YZZbSbbiZEGbxwrmCUpCOLaacONgs/T&#10;/uUNhA/IGjvHpOBGHjbrx4cV5tpd+YPGMjQiQtjnqKANoc+l9HVLFn3ieuLond1gMUQ5NFIPeI1w&#10;28l5mi6kRcNxocWedi3Vl/LHKvjamoyy7+r4ntZEhZbVoTSZUs9P03YJItAU/sN/7UIreIX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lxRM/CAAAA2gAAAA8A&#10;AAAAAAAAAAAAAAAAqgIAAGRycy9kb3ducmV2LnhtbFBLBQYAAAAABAAEAPoAAACZAwAAAAA=&#10;">
            <v:shape id="AutoShape 29" o:spid="_x0000_s4162"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5HVcAAAADbAAAADwAAAGRycy9kb3ducmV2LnhtbERPS4vCMBC+L/gfwgheRFN7cKUaRQVB&#10;j+sD8TY0Y1tsJiWJtf77jbCwt/n4nrNYdaYWLTlfWVYwGScgiHOrKy4UnE+70QyED8gaa8uk4E0e&#10;Vsve1wIzbV/8Q+0xFCKGsM9QQRlCk0np85IM+rFtiCN3t85giNAVUjt8xXBTyzRJptJgxbGhxIa2&#10;JeWP49MoGOrhJbXb/eN0dYdLm5KbbW7fSg363XoOIlAX/sV/7r2O8yfw+SUeIJ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eR1XAAAAA2wAAAA8AAAAAAAAAAAAAAAAA&#10;oQIAAGRycy9kb3ducmV2LnhtbFBLBQYAAAAABAAEAPkAAACOAwAAAAA=&#10;" strokecolor="#a5a5a5 [2092]"/>
            <v:shape id="AutoShape 30" o:spid="_x0000_s4163"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48QAAADbAAAADwAAAGRycy9kb3ducmV2LnhtbERPS2vCQBC+C/0PyxR6001FgqSuUgrW&#10;HEqLxkO9DdkxCWZnQ3bzaH59t1DwNh/fcza70dSip9ZVlhU8LyIQxLnVFRcKztl+vgbhPLLG2jIp&#10;+CEHu+3DbIOJtgMfqT/5QoQQdgkqKL1vEildXpJBt7ANceCutjXoA2wLqVscQrip5TKKYmmw4tBQ&#10;YkNvJeW3U2cULPX0nX28f+b7fujSy6XIDl/xpNTT4/j6AsLT6O/if3eqw/wV/P0SDp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n7PjxAAAANsAAAAPAAAAAAAAAAAA&#10;AAAAAKECAABkcnMvZG93bnJldi54bWxQSwUGAAAAAAQABAD5AAAAkgMAAAAA&#10;" adj="20904" strokecolor="#a5a5a5 [2092]"/>
          </v:group>
          <w10:wrap anchorx="page" anchory="margin"/>
        </v:group>
      </w:pict>
    </w:r>
    <w:r w:rsidR="005B174C">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5B174C">
    <w:pPr>
      <w:pStyle w:val="a9"/>
    </w:pPr>
    <w:r w:rsidRPr="00F12440">
      <w:rPr>
        <w:noProof/>
      </w:rPr>
      <w:drawing>
        <wp:anchor distT="0" distB="0" distL="114300" distR="114300" simplePos="0" relativeHeight="251677696" behindDoc="0" locked="0" layoutInCell="1" allowOverlap="1" wp14:anchorId="037F4F5C" wp14:editId="46142C00">
          <wp:simplePos x="0" y="0"/>
          <wp:positionH relativeFrom="margin">
            <wp:posOffset>46355</wp:posOffset>
          </wp:positionH>
          <wp:positionV relativeFrom="paragraph">
            <wp:posOffset>-97790</wp:posOffset>
          </wp:positionV>
          <wp:extent cx="1077595" cy="265430"/>
          <wp:effectExtent l="0" t="0" r="0" b="0"/>
          <wp:wrapTopAndBottom/>
          <wp:docPr id="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lum/>
                  </a:blip>
                  <a:srcRect l="1573" t="5579" r="1437" b="37698"/>
                  <a:stretch/>
                </pic:blipFill>
                <pic:spPr bwMode="auto">
                  <a:xfrm>
                    <a:off x="0" y="0"/>
                    <a:ext cx="1077595" cy="2654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A156D">
      <w:rPr>
        <w:noProof/>
      </w:rPr>
      <w:pict>
        <v:group id="_x0000_s4133" style="position:absolute;margin-left:95.3pt;margin-top:.4pt;width:510.25pt;height:44.75pt;z-index:251676672;mso-position-horizontal-relative:page;mso-position-vertical-relative:bottom-margin-area"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">
          <v:shapetype id="_x0000_t202" coordsize="21600,21600" o:spt="202" path="m,l,21600r21600,l21600,xe">
            <v:stroke joinstyle="miter"/>
            <v:path gradientshapeok="t" o:connecttype="rect"/>
          </v:shapetype>
          <v:shape id="Text Box 27" o:spid="_x0000_s4134"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B174C" w:rsidRPr="004E0831" w:rsidRDefault="005B174C" w:rsidP="003155E3">
                  <w:pPr>
                    <w:spacing w:after="0" w:line="240" w:lineRule="auto"/>
                    <w:jc w:val="center"/>
                    <w:rPr>
                      <w:rFonts w:ascii="Georgia" w:hAnsi="Georgia"/>
                      <w:b/>
                      <w:sz w:val="40"/>
                      <w:szCs w:val="40"/>
                    </w:rPr>
                  </w:pPr>
                  <w:r w:rsidRPr="004E0831">
                    <w:rPr>
                      <w:rFonts w:ascii="Georgia" w:hAnsi="Georgia"/>
                      <w:b/>
                      <w:sz w:val="40"/>
                      <w:szCs w:val="40"/>
                    </w:rPr>
                    <w:fldChar w:fldCharType="begin"/>
                  </w:r>
                  <w:r w:rsidRPr="004E0831">
                    <w:rPr>
                      <w:rFonts w:ascii="Georgia" w:hAnsi="Georgia"/>
                      <w:b/>
                      <w:sz w:val="40"/>
                      <w:szCs w:val="40"/>
                    </w:rPr>
                    <w:instrText xml:space="preserve"> PAGE    \* MERGEFORMAT </w:instrText>
                  </w:r>
                  <w:r w:rsidRPr="004E0831">
                    <w:rPr>
                      <w:rFonts w:ascii="Georgia" w:hAnsi="Georgia"/>
                      <w:b/>
                      <w:sz w:val="40"/>
                      <w:szCs w:val="40"/>
                    </w:rPr>
                    <w:fldChar w:fldCharType="separate"/>
                  </w:r>
                  <w:r w:rsidR="00AA156D" w:rsidRPr="00AA156D">
                    <w:rPr>
                      <w:rFonts w:ascii="Georgia" w:hAnsi="Georgia"/>
                      <w:b/>
                      <w:noProof/>
                      <w:color w:val="8C8C8C" w:themeColor="background1" w:themeShade="8C"/>
                      <w:sz w:val="40"/>
                      <w:szCs w:val="40"/>
                    </w:rPr>
                    <w:t>70</w:t>
                  </w:r>
                  <w:r w:rsidRPr="004E0831">
                    <w:rPr>
                      <w:rFonts w:ascii="Georgia" w:hAnsi="Georgia"/>
                      <w:b/>
                      <w:sz w:val="40"/>
                      <w:szCs w:val="40"/>
                    </w:rPr>
                    <w:fldChar w:fldCharType="end"/>
                  </w:r>
                </w:p>
              </w:txbxContent>
            </v:textbox>
          </v:shape>
          <v:group id="Group 28" o:spid="_x0000_s4135"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FEz8IAAADaAAAADwAAAGRycy9kb3ducmV2LnhtbESPQWvCQBSE74X+h+UV&#10;ems2SrAluooISpBeGtuS4yP7TBazb0N2G+O/7wqFHoeZ+YZZbSbbiZEGbxwrmCUpCOLaacONgs/T&#10;/uUNhA/IGjvHpOBGHjbrx4cV5tpd+YPGMjQiQtjnqKANoc+l9HVLFn3ieuLond1gMUQ5NFIPeI1w&#10;28l5mi6kRcNxocWedi3Vl/LHKvjamoyy7+r4ntZEhZbVoTSZUs9P03YJItAU/sN/7UIreIX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lxRM/CAAAA2gAAAA8A&#10;AAAAAAAAAAAAAAAAqgIAAGRycy9kb3ducmV2LnhtbFBLBQYAAAAABAAEAPoAAACZ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4136"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5HVcAAAADbAAAADwAAAGRycy9kb3ducmV2LnhtbERPS4vCMBC+L/gfwgheRFN7cKUaRQVB&#10;j+sD8TY0Y1tsJiWJtf77jbCwt/n4nrNYdaYWLTlfWVYwGScgiHOrKy4UnE+70QyED8gaa8uk4E0e&#10;Vsve1wIzbV/8Q+0xFCKGsM9QQRlCk0np85IM+rFtiCN3t85giNAVUjt8xXBTyzRJptJgxbGhxIa2&#10;JeWP49MoGOrhJbXb/eN0dYdLm5KbbW7fSg363XoOIlAX/sV/7r2O8yfw+SUeIJ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eR1XAAAAA2wAAAA8AAAAAAAAAAAAAAAAA&#10;oQIAAGRycy9kb3ducmV2LnhtbFBLBQYAAAAABAAEAPkAAACOAwAAAAA=&#10;" strokecolor="#a5a5a5 [2092]"/>
            <v:shape id="AutoShape 30" o:spid="_x0000_s4137"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z48QAAADbAAAADwAAAGRycy9kb3ducmV2LnhtbERPS2vCQBC+C/0PyxR6001FgqSuUgrW&#10;HEqLxkO9DdkxCWZnQ3bzaH59t1DwNh/fcza70dSip9ZVlhU8LyIQxLnVFRcKztl+vgbhPLLG2jIp&#10;+CEHu+3DbIOJtgMfqT/5QoQQdgkqKL1vEildXpJBt7ANceCutjXoA2wLqVscQrip5TKKYmmw4tBQ&#10;YkNvJeW3U2cULPX0nX28f+b7fujSy6XIDl/xpNTT4/j6AsLT6O/if3eqw/wV/P0SDp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n7PjxAAAANsAAAAPAAAAAAAAAAAA&#10;AAAAAKECAABkcnMvZG93bnJldi54bWxQSwUGAAAAAAQABAD5AAAAkgMAAAAA&#10;" adj="20904" strokecolor="#a5a5a5 [2092]"/>
          </v:group>
          <w10:wrap anchorx="page" anchory="margin"/>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74C" w:rsidRDefault="005B174C" w:rsidP="0029002E">
      <w:pPr>
        <w:spacing w:after="0" w:line="240" w:lineRule="auto"/>
      </w:pPr>
      <w:r>
        <w:separator/>
      </w:r>
    </w:p>
  </w:footnote>
  <w:footnote w:type="continuationSeparator" w:id="0">
    <w:p w:rsidR="005B174C" w:rsidRDefault="005B174C" w:rsidP="0029002E">
      <w:pPr>
        <w:spacing w:after="0" w:line="240" w:lineRule="auto"/>
      </w:pPr>
      <w:r>
        <w:continuationSeparator/>
      </w:r>
    </w:p>
  </w:footnote>
  <w:footnote w:id="1">
    <w:p w:rsidR="005B174C" w:rsidRPr="000C2FB0" w:rsidRDefault="005B174C" w:rsidP="00DE4863">
      <w:pPr>
        <w:pStyle w:val="af0"/>
        <w:rPr>
          <w:rFonts w:ascii="Georgia" w:hAnsi="Georgia"/>
        </w:rPr>
      </w:pPr>
      <w:r w:rsidRPr="000C2FB0">
        <w:rPr>
          <w:rStyle w:val="af2"/>
          <w:rFonts w:ascii="Georgia" w:hAnsi="Georgia"/>
        </w:rPr>
        <w:footnoteRef/>
      </w:r>
      <w:r w:rsidRPr="000C2FB0">
        <w:rPr>
          <w:rFonts w:ascii="Georgia" w:hAnsi="Georgia"/>
        </w:rPr>
        <w:t xml:space="preserve"> По данным формы отчетности 0409101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AA156D">
    <w:pPr>
      <w:pStyle w:val="a7"/>
    </w:pPr>
    <w:r>
      <w:rPr>
        <w:noProof/>
      </w:rPr>
      <w:pict>
        <v:shapetype id="_x0000_t32" coordsize="21600,21600" o:spt="32" o:oned="t" path="m,l21600,21600e" filled="f">
          <v:path arrowok="t" fillok="f" o:connecttype="none"/>
          <o:lock v:ext="edit" shapetype="t"/>
        </v:shapetype>
        <v:shape id="AutoShape 9" o:spid="_x0000_s4108" type="#_x0000_t32" style="position:absolute;margin-left:-.7pt;margin-top:10.85pt;width:510.25pt;height:.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" strokecolor="#a5a5a5 [2092]" strokeweight="1pt">
          <w10:wrap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AA156D">
    <w:pPr>
      <w:pStyle w:val="a7"/>
    </w:pPr>
    <w:r>
      <w:rPr>
        <w:noProof/>
      </w:rPr>
      <w:pict>
        <v:shapetype id="_x0000_t32" coordsize="21600,21600" o:spt="32" o:oned="t" path="m,l21600,21600e" filled="f">
          <v:path arrowok="t" fillok="f" o:connecttype="none"/>
          <o:lock v:ext="edit" shapetype="t"/>
        </v:shapetype>
        <v:shape id="AutoShape 22" o:spid="_x0000_s4107" type="#_x0000_t32" style="position:absolute;margin-left:-.8pt;margin-top:12.2pt;width:510.1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" strokecolor="#a5a5a5 [2092]" strokeweight="1p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5B174C">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AA156D">
    <w:pPr>
      <w:pStyle w:val="a7"/>
    </w:pPr>
    <w:r>
      <w:rPr>
        <w:noProof/>
      </w:rPr>
      <w:pict>
        <v:shapetype id="_x0000_t32" coordsize="21600,21600" o:spt="32" o:oned="t" path="m,l21600,21600e" filled="f">
          <v:path arrowok="t" fillok="f" o:connecttype="none"/>
          <o:lock v:ext="edit" shapetype="t"/>
        </v:shapetype>
        <v:shape id="_x0000_s4171" type="#_x0000_t32" style="position:absolute;margin-left:-.8pt;margin-top:12.2pt;width:510.1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" strokecolor="#a5a5a5 [2092]" strokeweight="1pt"/>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4C" w:rsidRDefault="00AA156D" w:rsidP="003155E3">
    <w:pPr>
      <w:pStyle w:val="a7"/>
    </w:pPr>
    <w:r>
      <w:rPr>
        <w:noProof/>
      </w:rPr>
      <w:pict>
        <v:shapetype id="_x0000_t32" coordsize="21600,21600" o:spt="32" o:oned="t" path="m,l21600,21600e" filled="f">
          <v:path arrowok="t" fillok="f" o:connecttype="none"/>
          <o:lock v:ext="edit" shapetype="t"/>
        </v:shapetype>
        <v:shape id="_x0000_s4117" type="#_x0000_t32" style="position:absolute;margin-left:-.8pt;margin-top:12.2pt;width:510.1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" strokecolor="#a5a5a5 [2092]" strokeweight="1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4FE"/>
    <w:multiLevelType w:val="hybridMultilevel"/>
    <w:tmpl w:val="F3F48DBA"/>
    <w:lvl w:ilvl="0" w:tplc="98769456">
      <w:start w:val="1"/>
      <w:numFmt w:val="bullet"/>
      <w:lvlText w:val=""/>
      <w:lvlJc w:val="left"/>
      <w:pPr>
        <w:ind w:left="720" w:hanging="360"/>
      </w:pPr>
      <w:rPr>
        <w:rFonts w:ascii="Wingdings" w:hAnsi="Wingdings" w:hint="default"/>
        <w:color w:val="4F81BD" w:themeColor="accen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45642"/>
    <w:multiLevelType w:val="hybridMultilevel"/>
    <w:tmpl w:val="ECB6897E"/>
    <w:lvl w:ilvl="0" w:tplc="25CEC200">
      <w:start w:val="1"/>
      <w:numFmt w:val="bullet"/>
      <w:lvlText w:val=""/>
      <w:lvlJc w:val="left"/>
      <w:pPr>
        <w:ind w:left="720" w:hanging="360"/>
      </w:pPr>
      <w:rPr>
        <w:rFonts w:ascii="Wingdings" w:hAnsi="Wingdings" w:hint="default"/>
        <w:color w:val="4F81BD" w:themeColor="accent1"/>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3D182C"/>
    <w:multiLevelType w:val="hybridMultilevel"/>
    <w:tmpl w:val="FE42DF08"/>
    <w:lvl w:ilvl="0" w:tplc="7D405E0A">
      <w:start w:val="18"/>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A3681E"/>
    <w:multiLevelType w:val="hybridMultilevel"/>
    <w:tmpl w:val="40E04E82"/>
    <w:lvl w:ilvl="0" w:tplc="F8905FC0">
      <w:start w:val="1"/>
      <w:numFmt w:val="bullet"/>
      <w:lvlText w:val=""/>
      <w:lvlJc w:val="left"/>
      <w:pPr>
        <w:ind w:left="720" w:hanging="360"/>
      </w:pPr>
      <w:rPr>
        <w:rFonts w:ascii="Wingdings" w:hAnsi="Wingdings" w:hint="default"/>
        <w:color w:val="4F81BD" w:themeColor="accen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F61FBA"/>
    <w:multiLevelType w:val="hybridMultilevel"/>
    <w:tmpl w:val="B3A8B84E"/>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
    <w:nsid w:val="3144480E"/>
    <w:multiLevelType w:val="hybridMultilevel"/>
    <w:tmpl w:val="14EE3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5028AE"/>
    <w:multiLevelType w:val="hybridMultilevel"/>
    <w:tmpl w:val="DE0021F6"/>
    <w:lvl w:ilvl="0" w:tplc="25CEC200">
      <w:start w:val="1"/>
      <w:numFmt w:val="bullet"/>
      <w:lvlText w:val=""/>
      <w:lvlJc w:val="left"/>
      <w:pPr>
        <w:ind w:left="720" w:hanging="360"/>
      </w:pPr>
      <w:rPr>
        <w:rFonts w:ascii="Wingdings" w:hAnsi="Wingdings" w:hint="default"/>
        <w:color w:val="4F81BD" w:themeColor="accent1"/>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A85576"/>
    <w:multiLevelType w:val="hybridMultilevel"/>
    <w:tmpl w:val="B5004C2E"/>
    <w:lvl w:ilvl="0" w:tplc="11D802DC">
      <w:start w:val="1"/>
      <w:numFmt w:val="decimal"/>
      <w:lvlText w:val="%1."/>
      <w:lvlJc w:val="left"/>
      <w:pPr>
        <w:ind w:left="720" w:hanging="360"/>
      </w:pPr>
      <w:rPr>
        <w:rFonts w:hint="default"/>
        <w:b/>
        <w:color w:val="365F91" w:themeColor="accent1" w:themeShade="BF"/>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BE767F"/>
    <w:multiLevelType w:val="hybridMultilevel"/>
    <w:tmpl w:val="E73C9428"/>
    <w:lvl w:ilvl="0" w:tplc="6770B73A">
      <w:start w:val="1"/>
      <w:numFmt w:val="bullet"/>
      <w:lvlText w:val=""/>
      <w:lvlJc w:val="left"/>
      <w:pPr>
        <w:tabs>
          <w:tab w:val="num" w:pos="644"/>
        </w:tabs>
        <w:ind w:left="644" w:hanging="360"/>
      </w:pPr>
      <w:rPr>
        <w:rFonts w:ascii="Wingdings" w:hAnsi="Wingdings" w:hint="default"/>
        <w:color w:val="4F81BD" w:themeColor="accent1"/>
      </w:rPr>
    </w:lvl>
    <w:lvl w:ilvl="1" w:tplc="04190003">
      <w:start w:val="1"/>
      <w:numFmt w:val="bullet"/>
      <w:lvlText w:val="o"/>
      <w:lvlJc w:val="left"/>
      <w:pPr>
        <w:ind w:left="842" w:hanging="360"/>
      </w:pPr>
      <w:rPr>
        <w:rFonts w:ascii="Courier New" w:hAnsi="Courier New" w:hint="default"/>
      </w:rPr>
    </w:lvl>
    <w:lvl w:ilvl="2" w:tplc="04190005">
      <w:start w:val="1"/>
      <w:numFmt w:val="bullet"/>
      <w:lvlText w:val=""/>
      <w:lvlJc w:val="left"/>
      <w:pPr>
        <w:ind w:left="1562" w:hanging="360"/>
      </w:pPr>
      <w:rPr>
        <w:rFonts w:ascii="Wingdings" w:hAnsi="Wingdings" w:hint="default"/>
      </w:rPr>
    </w:lvl>
    <w:lvl w:ilvl="3" w:tplc="04190001">
      <w:start w:val="1"/>
      <w:numFmt w:val="bullet"/>
      <w:lvlText w:val=""/>
      <w:lvlJc w:val="left"/>
      <w:pPr>
        <w:ind w:left="2282" w:hanging="360"/>
      </w:pPr>
      <w:rPr>
        <w:rFonts w:ascii="Symbol" w:hAnsi="Symbol" w:hint="default"/>
      </w:rPr>
    </w:lvl>
    <w:lvl w:ilvl="4" w:tplc="04190003">
      <w:start w:val="1"/>
      <w:numFmt w:val="bullet"/>
      <w:lvlText w:val="o"/>
      <w:lvlJc w:val="left"/>
      <w:pPr>
        <w:ind w:left="3002" w:hanging="360"/>
      </w:pPr>
      <w:rPr>
        <w:rFonts w:ascii="Courier New" w:hAnsi="Courier New" w:hint="default"/>
      </w:rPr>
    </w:lvl>
    <w:lvl w:ilvl="5" w:tplc="04190005">
      <w:start w:val="1"/>
      <w:numFmt w:val="bullet"/>
      <w:lvlText w:val=""/>
      <w:lvlJc w:val="left"/>
      <w:pPr>
        <w:ind w:left="3722" w:hanging="360"/>
      </w:pPr>
      <w:rPr>
        <w:rFonts w:ascii="Wingdings" w:hAnsi="Wingdings" w:hint="default"/>
      </w:rPr>
    </w:lvl>
    <w:lvl w:ilvl="6" w:tplc="04190001">
      <w:start w:val="1"/>
      <w:numFmt w:val="bullet"/>
      <w:lvlText w:val=""/>
      <w:lvlJc w:val="left"/>
      <w:pPr>
        <w:ind w:left="4442" w:hanging="360"/>
      </w:pPr>
      <w:rPr>
        <w:rFonts w:ascii="Symbol" w:hAnsi="Symbol" w:hint="default"/>
      </w:rPr>
    </w:lvl>
    <w:lvl w:ilvl="7" w:tplc="04190003">
      <w:start w:val="1"/>
      <w:numFmt w:val="bullet"/>
      <w:lvlText w:val="o"/>
      <w:lvlJc w:val="left"/>
      <w:pPr>
        <w:ind w:left="5162" w:hanging="360"/>
      </w:pPr>
      <w:rPr>
        <w:rFonts w:ascii="Courier New" w:hAnsi="Courier New" w:hint="default"/>
      </w:rPr>
    </w:lvl>
    <w:lvl w:ilvl="8" w:tplc="04190005">
      <w:start w:val="1"/>
      <w:numFmt w:val="bullet"/>
      <w:lvlText w:val=""/>
      <w:lvlJc w:val="left"/>
      <w:pPr>
        <w:ind w:left="5882" w:hanging="360"/>
      </w:pPr>
      <w:rPr>
        <w:rFonts w:ascii="Wingdings" w:hAnsi="Wingdings" w:hint="default"/>
      </w:rPr>
    </w:lvl>
  </w:abstractNum>
  <w:abstractNum w:abstractNumId="9">
    <w:nsid w:val="45936403"/>
    <w:multiLevelType w:val="hybridMultilevel"/>
    <w:tmpl w:val="DE5899F2"/>
    <w:lvl w:ilvl="0" w:tplc="501A4468">
      <w:start w:val="1"/>
      <w:numFmt w:val="decimal"/>
      <w:lvlText w:val="%1."/>
      <w:lvlJc w:val="left"/>
      <w:pPr>
        <w:ind w:left="720" w:hanging="360"/>
      </w:pPr>
      <w:rPr>
        <w:rFonts w:hint="default"/>
        <w:b/>
        <w:i/>
        <w:color w:val="365F91" w:themeColor="accent1" w:themeShade="BF"/>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BC1C81"/>
    <w:multiLevelType w:val="hybridMultilevel"/>
    <w:tmpl w:val="785E4F76"/>
    <w:lvl w:ilvl="0" w:tplc="98769456">
      <w:start w:val="1"/>
      <w:numFmt w:val="bullet"/>
      <w:lvlText w:val=""/>
      <w:lvlJc w:val="left"/>
      <w:pPr>
        <w:ind w:left="720" w:hanging="360"/>
      </w:pPr>
      <w:rPr>
        <w:rFonts w:ascii="Wingdings" w:hAnsi="Wingdings" w:hint="default"/>
        <w:color w:val="4F81BD" w:themeColor="accen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4F3ED8"/>
    <w:multiLevelType w:val="hybridMultilevel"/>
    <w:tmpl w:val="272AF39C"/>
    <w:lvl w:ilvl="0" w:tplc="80FA8394">
      <w:start w:val="1"/>
      <w:numFmt w:val="bullet"/>
      <w:lvlText w:val="­"/>
      <w:lvlJc w:val="left"/>
      <w:pPr>
        <w:ind w:left="720" w:hanging="360"/>
      </w:pPr>
      <w:rPr>
        <w:rFonts w:ascii="Courier New" w:hAnsi="Courier New" w:hint="default"/>
      </w:rPr>
    </w:lvl>
    <w:lvl w:ilvl="1" w:tplc="2FBED9C6" w:tentative="1">
      <w:start w:val="1"/>
      <w:numFmt w:val="bullet"/>
      <w:lvlText w:val="o"/>
      <w:lvlJc w:val="left"/>
      <w:pPr>
        <w:ind w:left="1440" w:hanging="360"/>
      </w:pPr>
      <w:rPr>
        <w:rFonts w:ascii="Courier New" w:hAnsi="Courier New" w:cs="Courier New" w:hint="default"/>
      </w:rPr>
    </w:lvl>
    <w:lvl w:ilvl="2" w:tplc="1A58E4CC" w:tentative="1">
      <w:start w:val="1"/>
      <w:numFmt w:val="bullet"/>
      <w:lvlText w:val=""/>
      <w:lvlJc w:val="left"/>
      <w:pPr>
        <w:ind w:left="2160" w:hanging="360"/>
      </w:pPr>
      <w:rPr>
        <w:rFonts w:ascii="Wingdings" w:hAnsi="Wingdings" w:hint="default"/>
      </w:rPr>
    </w:lvl>
    <w:lvl w:ilvl="3" w:tplc="E6F4B752" w:tentative="1">
      <w:start w:val="1"/>
      <w:numFmt w:val="bullet"/>
      <w:lvlText w:val=""/>
      <w:lvlJc w:val="left"/>
      <w:pPr>
        <w:ind w:left="2880" w:hanging="360"/>
      </w:pPr>
      <w:rPr>
        <w:rFonts w:ascii="Symbol" w:hAnsi="Symbol" w:hint="default"/>
      </w:rPr>
    </w:lvl>
    <w:lvl w:ilvl="4" w:tplc="681A33E6" w:tentative="1">
      <w:start w:val="1"/>
      <w:numFmt w:val="bullet"/>
      <w:lvlText w:val="o"/>
      <w:lvlJc w:val="left"/>
      <w:pPr>
        <w:ind w:left="3600" w:hanging="360"/>
      </w:pPr>
      <w:rPr>
        <w:rFonts w:ascii="Courier New" w:hAnsi="Courier New" w:cs="Courier New" w:hint="default"/>
      </w:rPr>
    </w:lvl>
    <w:lvl w:ilvl="5" w:tplc="8A52110C" w:tentative="1">
      <w:start w:val="1"/>
      <w:numFmt w:val="bullet"/>
      <w:lvlText w:val=""/>
      <w:lvlJc w:val="left"/>
      <w:pPr>
        <w:ind w:left="4320" w:hanging="360"/>
      </w:pPr>
      <w:rPr>
        <w:rFonts w:ascii="Wingdings" w:hAnsi="Wingdings" w:hint="default"/>
      </w:rPr>
    </w:lvl>
    <w:lvl w:ilvl="6" w:tplc="484ABF3C" w:tentative="1">
      <w:start w:val="1"/>
      <w:numFmt w:val="bullet"/>
      <w:lvlText w:val=""/>
      <w:lvlJc w:val="left"/>
      <w:pPr>
        <w:ind w:left="5040" w:hanging="360"/>
      </w:pPr>
      <w:rPr>
        <w:rFonts w:ascii="Symbol" w:hAnsi="Symbol" w:hint="default"/>
      </w:rPr>
    </w:lvl>
    <w:lvl w:ilvl="7" w:tplc="F53488C4" w:tentative="1">
      <w:start w:val="1"/>
      <w:numFmt w:val="bullet"/>
      <w:lvlText w:val="o"/>
      <w:lvlJc w:val="left"/>
      <w:pPr>
        <w:ind w:left="5760" w:hanging="360"/>
      </w:pPr>
      <w:rPr>
        <w:rFonts w:ascii="Courier New" w:hAnsi="Courier New" w:cs="Courier New" w:hint="default"/>
      </w:rPr>
    </w:lvl>
    <w:lvl w:ilvl="8" w:tplc="64383D46" w:tentative="1">
      <w:start w:val="1"/>
      <w:numFmt w:val="bullet"/>
      <w:lvlText w:val=""/>
      <w:lvlJc w:val="left"/>
      <w:pPr>
        <w:ind w:left="6480" w:hanging="360"/>
      </w:pPr>
      <w:rPr>
        <w:rFonts w:ascii="Wingdings" w:hAnsi="Wingdings" w:hint="default"/>
      </w:rPr>
    </w:lvl>
  </w:abstractNum>
  <w:abstractNum w:abstractNumId="12">
    <w:nsid w:val="584510B6"/>
    <w:multiLevelType w:val="hybridMultilevel"/>
    <w:tmpl w:val="7D083F9A"/>
    <w:lvl w:ilvl="0" w:tplc="98769456">
      <w:start w:val="1"/>
      <w:numFmt w:val="bullet"/>
      <w:lvlText w:val=""/>
      <w:lvlJc w:val="left"/>
      <w:pPr>
        <w:ind w:left="720" w:hanging="360"/>
      </w:pPr>
      <w:rPr>
        <w:rFonts w:ascii="Wingdings" w:hAnsi="Wingdings" w:hint="default"/>
        <w:color w:val="4F81BD" w:themeColor="accen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415EC6"/>
    <w:multiLevelType w:val="hybridMultilevel"/>
    <w:tmpl w:val="A1604FC0"/>
    <w:lvl w:ilvl="0" w:tplc="6770B7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
    <w:nsid w:val="66256F5D"/>
    <w:multiLevelType w:val="hybridMultilevel"/>
    <w:tmpl w:val="DE5899F2"/>
    <w:lvl w:ilvl="0" w:tplc="501A4468">
      <w:start w:val="1"/>
      <w:numFmt w:val="decimal"/>
      <w:lvlText w:val="%1."/>
      <w:lvlJc w:val="left"/>
      <w:pPr>
        <w:ind w:left="720" w:hanging="360"/>
      </w:pPr>
      <w:rPr>
        <w:rFonts w:hint="default"/>
        <w:b/>
        <w:i/>
        <w:color w:val="365F91" w:themeColor="accent1" w:themeShade="BF"/>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182926"/>
    <w:multiLevelType w:val="hybridMultilevel"/>
    <w:tmpl w:val="B80632E6"/>
    <w:lvl w:ilvl="0" w:tplc="F8905FC0">
      <w:start w:val="1"/>
      <w:numFmt w:val="bullet"/>
      <w:lvlText w:val=""/>
      <w:lvlJc w:val="left"/>
      <w:pPr>
        <w:tabs>
          <w:tab w:val="num" w:pos="1440"/>
        </w:tabs>
        <w:ind w:left="1440" w:hanging="360"/>
      </w:pPr>
      <w:rPr>
        <w:rFonts w:ascii="Wingdings" w:hAnsi="Wingdings" w:hint="default"/>
        <w:color w:val="4F81BD" w:themeColor="accent1"/>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79AF10DA"/>
    <w:multiLevelType w:val="hybridMultilevel"/>
    <w:tmpl w:val="3896622C"/>
    <w:lvl w:ilvl="0" w:tplc="6770B73A">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4"/>
  </w:num>
  <w:num w:numId="5">
    <w:abstractNumId w:val="14"/>
  </w:num>
  <w:num w:numId="6">
    <w:abstractNumId w:val="11"/>
  </w:num>
  <w:num w:numId="7">
    <w:abstractNumId w:val="15"/>
  </w:num>
  <w:num w:numId="8">
    <w:abstractNumId w:val="8"/>
  </w:num>
  <w:num w:numId="9">
    <w:abstractNumId w:val="16"/>
  </w:num>
  <w:num w:numId="10">
    <w:abstractNumId w:val="13"/>
  </w:num>
  <w:num w:numId="11">
    <w:abstractNumId w:val="7"/>
  </w:num>
  <w:num w:numId="12">
    <w:abstractNumId w:val="0"/>
  </w:num>
  <w:num w:numId="13">
    <w:abstractNumId w:val="10"/>
  </w:num>
  <w:num w:numId="14">
    <w:abstractNumId w:val="1"/>
  </w:num>
  <w:num w:numId="15">
    <w:abstractNumId w:val="3"/>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4185">
      <o:colormenu v:ext="edit" strokecolor="none [2092]"/>
    </o:shapedefaults>
    <o:shapelayout v:ext="edit">
      <o:idmap v:ext="edit" data="4"/>
      <o:rules v:ext="edit">
        <o:r id="V:Rule8" type="connector" idref="#AutoShape 29"/>
        <o:r id="V:Rule9" type="connector" idref="#AutoShape 30"/>
        <o:r id="V:Rule10" type="connector" idref="#AutoShape 29"/>
        <o:r id="V:Rule11" type="connector" idref="#AutoShape 30"/>
        <o:r id="V:Rule13" type="connector" idref="#AutoShape 29"/>
        <o:r id="V:Rule14" type="connector" idref="#AutoShape 30"/>
        <o:r id="V:Rule15" type="connector" idref="#AutoShape 8"/>
        <o:r id="V:Rule17" type="connector" idref="#_x0000_s4117"/>
        <o:r id="V:Rule21" type="connector" idref="#_x0000_s4171"/>
        <o:r id="V:Rule22" type="connector" idref="#AutoShape 9"/>
        <o:r id="V:Rule23" type="connector" idref="#AutoShape 29"/>
        <o:r id="V:Rule26" type="connector" idref="#AutoShape 30"/>
        <o:r id="V:Rule27" type="connector" idref="#AutoShape 7"/>
        <o:r id="V:Rule28" type="connector" idref="#AutoShape 22"/>
      </o:rules>
    </o:shapelayout>
  </w:hdrShapeDefaults>
  <w:footnotePr>
    <w:footnote w:id="-1"/>
    <w:footnote w:id="0"/>
  </w:footnotePr>
  <w:endnotePr>
    <w:endnote w:id="-1"/>
    <w:endnote w:id="0"/>
  </w:endnotePr>
  <w:compat>
    <w:useFELayout/>
    <w:compatSetting w:name="compatibilityMode" w:uri="http://schemas.microsoft.com/office/word" w:val="12"/>
  </w:compat>
  <w:rsids>
    <w:rsidRoot w:val="00156092"/>
    <w:rsid w:val="0000025E"/>
    <w:rsid w:val="000047F3"/>
    <w:rsid w:val="0002422B"/>
    <w:rsid w:val="0002562E"/>
    <w:rsid w:val="00027DB7"/>
    <w:rsid w:val="0003139A"/>
    <w:rsid w:val="000324EA"/>
    <w:rsid w:val="00032661"/>
    <w:rsid w:val="00035069"/>
    <w:rsid w:val="00037691"/>
    <w:rsid w:val="00042F08"/>
    <w:rsid w:val="00044C32"/>
    <w:rsid w:val="0005045D"/>
    <w:rsid w:val="00053E83"/>
    <w:rsid w:val="000602C6"/>
    <w:rsid w:val="00065C47"/>
    <w:rsid w:val="0006790C"/>
    <w:rsid w:val="0008011A"/>
    <w:rsid w:val="00081F65"/>
    <w:rsid w:val="0008398C"/>
    <w:rsid w:val="00085E0D"/>
    <w:rsid w:val="000939AB"/>
    <w:rsid w:val="00096E6E"/>
    <w:rsid w:val="00097095"/>
    <w:rsid w:val="000A1B37"/>
    <w:rsid w:val="000A5CE8"/>
    <w:rsid w:val="000C620E"/>
    <w:rsid w:val="000C64F2"/>
    <w:rsid w:val="000C75B3"/>
    <w:rsid w:val="000D4DB8"/>
    <w:rsid w:val="000D5560"/>
    <w:rsid w:val="000E644E"/>
    <w:rsid w:val="000F55F9"/>
    <w:rsid w:val="00102FD0"/>
    <w:rsid w:val="001043DC"/>
    <w:rsid w:val="001068DC"/>
    <w:rsid w:val="001068F9"/>
    <w:rsid w:val="00107C66"/>
    <w:rsid w:val="001106E8"/>
    <w:rsid w:val="00110F19"/>
    <w:rsid w:val="00111258"/>
    <w:rsid w:val="00111ADE"/>
    <w:rsid w:val="00111F03"/>
    <w:rsid w:val="00112F89"/>
    <w:rsid w:val="00116AA1"/>
    <w:rsid w:val="00134F25"/>
    <w:rsid w:val="00141627"/>
    <w:rsid w:val="001456AF"/>
    <w:rsid w:val="001462CB"/>
    <w:rsid w:val="001477A7"/>
    <w:rsid w:val="00152331"/>
    <w:rsid w:val="001535DD"/>
    <w:rsid w:val="001548E6"/>
    <w:rsid w:val="00156092"/>
    <w:rsid w:val="001573C9"/>
    <w:rsid w:val="001573CF"/>
    <w:rsid w:val="0015788C"/>
    <w:rsid w:val="00163B1E"/>
    <w:rsid w:val="001652CD"/>
    <w:rsid w:val="001658D3"/>
    <w:rsid w:val="00171BBD"/>
    <w:rsid w:val="00173DC7"/>
    <w:rsid w:val="00173E4D"/>
    <w:rsid w:val="001751DE"/>
    <w:rsid w:val="00183682"/>
    <w:rsid w:val="001838D6"/>
    <w:rsid w:val="00185019"/>
    <w:rsid w:val="00185417"/>
    <w:rsid w:val="0018758C"/>
    <w:rsid w:val="0018776A"/>
    <w:rsid w:val="00193CBF"/>
    <w:rsid w:val="0019450C"/>
    <w:rsid w:val="001B3545"/>
    <w:rsid w:val="001B44FA"/>
    <w:rsid w:val="001B5EC8"/>
    <w:rsid w:val="001B64C0"/>
    <w:rsid w:val="001B66D3"/>
    <w:rsid w:val="001C3AF1"/>
    <w:rsid w:val="001D01B1"/>
    <w:rsid w:val="001D2915"/>
    <w:rsid w:val="001D5C50"/>
    <w:rsid w:val="001D6808"/>
    <w:rsid w:val="001E75C6"/>
    <w:rsid w:val="001F2D92"/>
    <w:rsid w:val="00200626"/>
    <w:rsid w:val="0020314E"/>
    <w:rsid w:val="00204A4B"/>
    <w:rsid w:val="00205A72"/>
    <w:rsid w:val="00206D2D"/>
    <w:rsid w:val="00210133"/>
    <w:rsid w:val="002118EA"/>
    <w:rsid w:val="002140C4"/>
    <w:rsid w:val="00214744"/>
    <w:rsid w:val="0022141B"/>
    <w:rsid w:val="00223729"/>
    <w:rsid w:val="00223845"/>
    <w:rsid w:val="002239AD"/>
    <w:rsid w:val="00224891"/>
    <w:rsid w:val="00225B78"/>
    <w:rsid w:val="002260DB"/>
    <w:rsid w:val="00233DE1"/>
    <w:rsid w:val="00233ED4"/>
    <w:rsid w:val="00243D42"/>
    <w:rsid w:val="002443BB"/>
    <w:rsid w:val="00246297"/>
    <w:rsid w:val="00246352"/>
    <w:rsid w:val="00253AF6"/>
    <w:rsid w:val="00254D99"/>
    <w:rsid w:val="002551AC"/>
    <w:rsid w:val="002561DC"/>
    <w:rsid w:val="00261850"/>
    <w:rsid w:val="00263C44"/>
    <w:rsid w:val="00273156"/>
    <w:rsid w:val="00276A75"/>
    <w:rsid w:val="00281DF5"/>
    <w:rsid w:val="00282D20"/>
    <w:rsid w:val="00285270"/>
    <w:rsid w:val="00286FA2"/>
    <w:rsid w:val="0029002E"/>
    <w:rsid w:val="0029009D"/>
    <w:rsid w:val="00296D51"/>
    <w:rsid w:val="002A5521"/>
    <w:rsid w:val="002A5657"/>
    <w:rsid w:val="002A6583"/>
    <w:rsid w:val="002A6BD2"/>
    <w:rsid w:val="002B2CAB"/>
    <w:rsid w:val="002B61C6"/>
    <w:rsid w:val="002B6D8B"/>
    <w:rsid w:val="002C23CD"/>
    <w:rsid w:val="002D143E"/>
    <w:rsid w:val="002E688D"/>
    <w:rsid w:val="002F198C"/>
    <w:rsid w:val="002F46CC"/>
    <w:rsid w:val="0030264B"/>
    <w:rsid w:val="00302EA7"/>
    <w:rsid w:val="00303DDC"/>
    <w:rsid w:val="00310D0E"/>
    <w:rsid w:val="003155E3"/>
    <w:rsid w:val="00315A83"/>
    <w:rsid w:val="003222B7"/>
    <w:rsid w:val="00323343"/>
    <w:rsid w:val="003249EF"/>
    <w:rsid w:val="003260D9"/>
    <w:rsid w:val="00332BE5"/>
    <w:rsid w:val="00333663"/>
    <w:rsid w:val="0033485D"/>
    <w:rsid w:val="003348BB"/>
    <w:rsid w:val="00336415"/>
    <w:rsid w:val="00336F6A"/>
    <w:rsid w:val="0034091C"/>
    <w:rsid w:val="003414EE"/>
    <w:rsid w:val="00342ADE"/>
    <w:rsid w:val="00346912"/>
    <w:rsid w:val="00355B0F"/>
    <w:rsid w:val="00364C10"/>
    <w:rsid w:val="003658D4"/>
    <w:rsid w:val="00370411"/>
    <w:rsid w:val="0037139F"/>
    <w:rsid w:val="00374BD0"/>
    <w:rsid w:val="00374C0C"/>
    <w:rsid w:val="00377981"/>
    <w:rsid w:val="003801F2"/>
    <w:rsid w:val="003825EB"/>
    <w:rsid w:val="00386924"/>
    <w:rsid w:val="00392384"/>
    <w:rsid w:val="00394EBB"/>
    <w:rsid w:val="003955EC"/>
    <w:rsid w:val="003A3266"/>
    <w:rsid w:val="003A3768"/>
    <w:rsid w:val="003A458E"/>
    <w:rsid w:val="003A49E4"/>
    <w:rsid w:val="003A7679"/>
    <w:rsid w:val="003B358B"/>
    <w:rsid w:val="003B3AC8"/>
    <w:rsid w:val="003B4E5C"/>
    <w:rsid w:val="003B7B5B"/>
    <w:rsid w:val="003C324B"/>
    <w:rsid w:val="003D19D6"/>
    <w:rsid w:val="003D24A1"/>
    <w:rsid w:val="003D26FD"/>
    <w:rsid w:val="003E1B73"/>
    <w:rsid w:val="003E4151"/>
    <w:rsid w:val="003E5362"/>
    <w:rsid w:val="003E66FC"/>
    <w:rsid w:val="003F0DEF"/>
    <w:rsid w:val="003F1783"/>
    <w:rsid w:val="003F5D65"/>
    <w:rsid w:val="0040084F"/>
    <w:rsid w:val="004012D6"/>
    <w:rsid w:val="004100C7"/>
    <w:rsid w:val="004114DF"/>
    <w:rsid w:val="004115B1"/>
    <w:rsid w:val="00413CFE"/>
    <w:rsid w:val="00414DF8"/>
    <w:rsid w:val="004171D6"/>
    <w:rsid w:val="00420756"/>
    <w:rsid w:val="00420D7D"/>
    <w:rsid w:val="004246A2"/>
    <w:rsid w:val="00425945"/>
    <w:rsid w:val="00425E4F"/>
    <w:rsid w:val="00427159"/>
    <w:rsid w:val="00435993"/>
    <w:rsid w:val="00443F80"/>
    <w:rsid w:val="00454595"/>
    <w:rsid w:val="00456F36"/>
    <w:rsid w:val="00462E57"/>
    <w:rsid w:val="00463A07"/>
    <w:rsid w:val="00463B29"/>
    <w:rsid w:val="00463C82"/>
    <w:rsid w:val="0046553B"/>
    <w:rsid w:val="004673A6"/>
    <w:rsid w:val="00467935"/>
    <w:rsid w:val="0047127A"/>
    <w:rsid w:val="004714EE"/>
    <w:rsid w:val="004717B1"/>
    <w:rsid w:val="00472B76"/>
    <w:rsid w:val="00485F27"/>
    <w:rsid w:val="00486A0F"/>
    <w:rsid w:val="00492A1E"/>
    <w:rsid w:val="00492FF0"/>
    <w:rsid w:val="00496C4E"/>
    <w:rsid w:val="004A0D22"/>
    <w:rsid w:val="004A12A8"/>
    <w:rsid w:val="004A75D2"/>
    <w:rsid w:val="004B1611"/>
    <w:rsid w:val="004C2D0D"/>
    <w:rsid w:val="004D17D8"/>
    <w:rsid w:val="004D2036"/>
    <w:rsid w:val="004D4A93"/>
    <w:rsid w:val="004E0831"/>
    <w:rsid w:val="004E27DD"/>
    <w:rsid w:val="004E31E4"/>
    <w:rsid w:val="004E70BF"/>
    <w:rsid w:val="004F3C85"/>
    <w:rsid w:val="004F6857"/>
    <w:rsid w:val="00501AEE"/>
    <w:rsid w:val="0050639A"/>
    <w:rsid w:val="00506DD4"/>
    <w:rsid w:val="00510D7E"/>
    <w:rsid w:val="00512747"/>
    <w:rsid w:val="00514F27"/>
    <w:rsid w:val="005151C1"/>
    <w:rsid w:val="00515CED"/>
    <w:rsid w:val="00516C23"/>
    <w:rsid w:val="005203F5"/>
    <w:rsid w:val="0053228A"/>
    <w:rsid w:val="00541185"/>
    <w:rsid w:val="00542344"/>
    <w:rsid w:val="00546C0D"/>
    <w:rsid w:val="00554A72"/>
    <w:rsid w:val="00562D4D"/>
    <w:rsid w:val="00563BFC"/>
    <w:rsid w:val="00563E07"/>
    <w:rsid w:val="005735C4"/>
    <w:rsid w:val="00575CF5"/>
    <w:rsid w:val="00577963"/>
    <w:rsid w:val="00577B2E"/>
    <w:rsid w:val="00587682"/>
    <w:rsid w:val="00590D05"/>
    <w:rsid w:val="00591470"/>
    <w:rsid w:val="00591947"/>
    <w:rsid w:val="00597CA7"/>
    <w:rsid w:val="005A25A5"/>
    <w:rsid w:val="005A3375"/>
    <w:rsid w:val="005A4883"/>
    <w:rsid w:val="005B174C"/>
    <w:rsid w:val="005C3F93"/>
    <w:rsid w:val="005C50F3"/>
    <w:rsid w:val="005E080F"/>
    <w:rsid w:val="005E127E"/>
    <w:rsid w:val="005E200C"/>
    <w:rsid w:val="005E2AAE"/>
    <w:rsid w:val="005E5AAF"/>
    <w:rsid w:val="005E5E76"/>
    <w:rsid w:val="005E63E3"/>
    <w:rsid w:val="005F0D9C"/>
    <w:rsid w:val="005F790F"/>
    <w:rsid w:val="005F7CB6"/>
    <w:rsid w:val="006114A5"/>
    <w:rsid w:val="00611832"/>
    <w:rsid w:val="006139A5"/>
    <w:rsid w:val="006157C2"/>
    <w:rsid w:val="00616716"/>
    <w:rsid w:val="00616927"/>
    <w:rsid w:val="006174FF"/>
    <w:rsid w:val="0062078A"/>
    <w:rsid w:val="00623E5E"/>
    <w:rsid w:val="00636055"/>
    <w:rsid w:val="00637CE2"/>
    <w:rsid w:val="00643141"/>
    <w:rsid w:val="00644A93"/>
    <w:rsid w:val="00645577"/>
    <w:rsid w:val="00653EAF"/>
    <w:rsid w:val="00661E64"/>
    <w:rsid w:val="00663BD9"/>
    <w:rsid w:val="00666EBA"/>
    <w:rsid w:val="00670C90"/>
    <w:rsid w:val="00672B9C"/>
    <w:rsid w:val="0067565B"/>
    <w:rsid w:val="00681B6A"/>
    <w:rsid w:val="00686655"/>
    <w:rsid w:val="006867A0"/>
    <w:rsid w:val="00687284"/>
    <w:rsid w:val="006873E8"/>
    <w:rsid w:val="0069173C"/>
    <w:rsid w:val="00693ECA"/>
    <w:rsid w:val="006B6C05"/>
    <w:rsid w:val="006C150A"/>
    <w:rsid w:val="006C2138"/>
    <w:rsid w:val="006C2E72"/>
    <w:rsid w:val="006C658D"/>
    <w:rsid w:val="006D44FB"/>
    <w:rsid w:val="006D50BF"/>
    <w:rsid w:val="006E2527"/>
    <w:rsid w:val="006E4606"/>
    <w:rsid w:val="006E6FEA"/>
    <w:rsid w:val="006F026A"/>
    <w:rsid w:val="006F0685"/>
    <w:rsid w:val="006F224D"/>
    <w:rsid w:val="006F2A96"/>
    <w:rsid w:val="006F5ACD"/>
    <w:rsid w:val="006F66D8"/>
    <w:rsid w:val="0070080D"/>
    <w:rsid w:val="00703603"/>
    <w:rsid w:val="0070519A"/>
    <w:rsid w:val="007054C6"/>
    <w:rsid w:val="00707B19"/>
    <w:rsid w:val="007144D7"/>
    <w:rsid w:val="007209E7"/>
    <w:rsid w:val="007325B4"/>
    <w:rsid w:val="007366DC"/>
    <w:rsid w:val="00740AD2"/>
    <w:rsid w:val="0074206F"/>
    <w:rsid w:val="00747AEC"/>
    <w:rsid w:val="007540CE"/>
    <w:rsid w:val="007639A8"/>
    <w:rsid w:val="00763EEA"/>
    <w:rsid w:val="007655FF"/>
    <w:rsid w:val="0076644F"/>
    <w:rsid w:val="00774AAD"/>
    <w:rsid w:val="00775AFC"/>
    <w:rsid w:val="00776D04"/>
    <w:rsid w:val="0078317B"/>
    <w:rsid w:val="00795397"/>
    <w:rsid w:val="007A17A0"/>
    <w:rsid w:val="007A23C8"/>
    <w:rsid w:val="007A398A"/>
    <w:rsid w:val="007B0E29"/>
    <w:rsid w:val="007B2763"/>
    <w:rsid w:val="007B6152"/>
    <w:rsid w:val="007C33C0"/>
    <w:rsid w:val="007C48E4"/>
    <w:rsid w:val="007C7BA8"/>
    <w:rsid w:val="007D5972"/>
    <w:rsid w:val="007D61DD"/>
    <w:rsid w:val="007E0948"/>
    <w:rsid w:val="007E3246"/>
    <w:rsid w:val="007E6209"/>
    <w:rsid w:val="007F2551"/>
    <w:rsid w:val="007F258F"/>
    <w:rsid w:val="007F26DA"/>
    <w:rsid w:val="007F4E00"/>
    <w:rsid w:val="00800668"/>
    <w:rsid w:val="008009C8"/>
    <w:rsid w:val="00803CD6"/>
    <w:rsid w:val="008053CA"/>
    <w:rsid w:val="00810147"/>
    <w:rsid w:val="008113B0"/>
    <w:rsid w:val="00811738"/>
    <w:rsid w:val="00811766"/>
    <w:rsid w:val="00813F03"/>
    <w:rsid w:val="00815E75"/>
    <w:rsid w:val="008237DB"/>
    <w:rsid w:val="00823FC8"/>
    <w:rsid w:val="00833AB2"/>
    <w:rsid w:val="00836630"/>
    <w:rsid w:val="00841986"/>
    <w:rsid w:val="008539BF"/>
    <w:rsid w:val="008708E5"/>
    <w:rsid w:val="00870F26"/>
    <w:rsid w:val="0088137B"/>
    <w:rsid w:val="0088564D"/>
    <w:rsid w:val="0088663E"/>
    <w:rsid w:val="00893B62"/>
    <w:rsid w:val="00896362"/>
    <w:rsid w:val="00897C2A"/>
    <w:rsid w:val="008A6FFF"/>
    <w:rsid w:val="008B150C"/>
    <w:rsid w:val="008B243D"/>
    <w:rsid w:val="008B34EC"/>
    <w:rsid w:val="008B6335"/>
    <w:rsid w:val="008C09F7"/>
    <w:rsid w:val="008D0D02"/>
    <w:rsid w:val="008D1EC4"/>
    <w:rsid w:val="008E074D"/>
    <w:rsid w:val="008E1893"/>
    <w:rsid w:val="008E1D7E"/>
    <w:rsid w:val="008E336E"/>
    <w:rsid w:val="008E38DF"/>
    <w:rsid w:val="008E6053"/>
    <w:rsid w:val="008F3EE4"/>
    <w:rsid w:val="008F600E"/>
    <w:rsid w:val="00912ECF"/>
    <w:rsid w:val="009137B1"/>
    <w:rsid w:val="0091558F"/>
    <w:rsid w:val="00921CA8"/>
    <w:rsid w:val="00922EC9"/>
    <w:rsid w:val="00922FA7"/>
    <w:rsid w:val="0092704D"/>
    <w:rsid w:val="009303D9"/>
    <w:rsid w:val="00932D87"/>
    <w:rsid w:val="00934ABB"/>
    <w:rsid w:val="00934AD5"/>
    <w:rsid w:val="00934B99"/>
    <w:rsid w:val="009355AD"/>
    <w:rsid w:val="0093592D"/>
    <w:rsid w:val="009373A7"/>
    <w:rsid w:val="00941794"/>
    <w:rsid w:val="00945300"/>
    <w:rsid w:val="009465EF"/>
    <w:rsid w:val="00947FC1"/>
    <w:rsid w:val="0095085E"/>
    <w:rsid w:val="0095230A"/>
    <w:rsid w:val="00961F0F"/>
    <w:rsid w:val="00965340"/>
    <w:rsid w:val="00972E5D"/>
    <w:rsid w:val="00974D88"/>
    <w:rsid w:val="0097604B"/>
    <w:rsid w:val="009A2C34"/>
    <w:rsid w:val="009A3CA1"/>
    <w:rsid w:val="009B06DE"/>
    <w:rsid w:val="009B2443"/>
    <w:rsid w:val="009B3241"/>
    <w:rsid w:val="009B34B2"/>
    <w:rsid w:val="009C239A"/>
    <w:rsid w:val="009C38E0"/>
    <w:rsid w:val="009C4DAC"/>
    <w:rsid w:val="009C6393"/>
    <w:rsid w:val="009D4778"/>
    <w:rsid w:val="009D575B"/>
    <w:rsid w:val="009E13E9"/>
    <w:rsid w:val="009E2C41"/>
    <w:rsid w:val="009E4486"/>
    <w:rsid w:val="009E4964"/>
    <w:rsid w:val="009F03BA"/>
    <w:rsid w:val="009F1898"/>
    <w:rsid w:val="009F58C0"/>
    <w:rsid w:val="009F70BF"/>
    <w:rsid w:val="009F7F2D"/>
    <w:rsid w:val="00A024FA"/>
    <w:rsid w:val="00A03368"/>
    <w:rsid w:val="00A10D1E"/>
    <w:rsid w:val="00A254D9"/>
    <w:rsid w:val="00A26194"/>
    <w:rsid w:val="00A3466B"/>
    <w:rsid w:val="00A43FAA"/>
    <w:rsid w:val="00A47B00"/>
    <w:rsid w:val="00A47D75"/>
    <w:rsid w:val="00A50DFA"/>
    <w:rsid w:val="00A55F61"/>
    <w:rsid w:val="00A56B6B"/>
    <w:rsid w:val="00A604FE"/>
    <w:rsid w:val="00A61760"/>
    <w:rsid w:val="00A63F18"/>
    <w:rsid w:val="00A6533B"/>
    <w:rsid w:val="00A66470"/>
    <w:rsid w:val="00A6731D"/>
    <w:rsid w:val="00A757C3"/>
    <w:rsid w:val="00A76822"/>
    <w:rsid w:val="00A816F1"/>
    <w:rsid w:val="00A82FD6"/>
    <w:rsid w:val="00A846AB"/>
    <w:rsid w:val="00A8786C"/>
    <w:rsid w:val="00A90763"/>
    <w:rsid w:val="00A9584C"/>
    <w:rsid w:val="00AA099A"/>
    <w:rsid w:val="00AA156D"/>
    <w:rsid w:val="00AA233C"/>
    <w:rsid w:val="00AB00CA"/>
    <w:rsid w:val="00AB2EA6"/>
    <w:rsid w:val="00AB4AA1"/>
    <w:rsid w:val="00AC132D"/>
    <w:rsid w:val="00AC1AE2"/>
    <w:rsid w:val="00AC2EEF"/>
    <w:rsid w:val="00AC2FFC"/>
    <w:rsid w:val="00AC60C3"/>
    <w:rsid w:val="00AD4A68"/>
    <w:rsid w:val="00AD5BCE"/>
    <w:rsid w:val="00AD7306"/>
    <w:rsid w:val="00AE1AEA"/>
    <w:rsid w:val="00AE61F7"/>
    <w:rsid w:val="00B03F69"/>
    <w:rsid w:val="00B04905"/>
    <w:rsid w:val="00B05FD0"/>
    <w:rsid w:val="00B07C50"/>
    <w:rsid w:val="00B11AC7"/>
    <w:rsid w:val="00B13A8A"/>
    <w:rsid w:val="00B14D56"/>
    <w:rsid w:val="00B155FA"/>
    <w:rsid w:val="00B1646E"/>
    <w:rsid w:val="00B208C8"/>
    <w:rsid w:val="00B24227"/>
    <w:rsid w:val="00B265CC"/>
    <w:rsid w:val="00B268E4"/>
    <w:rsid w:val="00B35E46"/>
    <w:rsid w:val="00B3667E"/>
    <w:rsid w:val="00B36836"/>
    <w:rsid w:val="00B3746F"/>
    <w:rsid w:val="00B44A49"/>
    <w:rsid w:val="00B46AF0"/>
    <w:rsid w:val="00B50943"/>
    <w:rsid w:val="00B518BC"/>
    <w:rsid w:val="00B6023C"/>
    <w:rsid w:val="00B61A7C"/>
    <w:rsid w:val="00B70A83"/>
    <w:rsid w:val="00B71F69"/>
    <w:rsid w:val="00B75525"/>
    <w:rsid w:val="00B75A6F"/>
    <w:rsid w:val="00B7718C"/>
    <w:rsid w:val="00B8273E"/>
    <w:rsid w:val="00B83C16"/>
    <w:rsid w:val="00B879D1"/>
    <w:rsid w:val="00B9798B"/>
    <w:rsid w:val="00BA0C6E"/>
    <w:rsid w:val="00BA5F10"/>
    <w:rsid w:val="00BB73AF"/>
    <w:rsid w:val="00BC721D"/>
    <w:rsid w:val="00BD31DF"/>
    <w:rsid w:val="00BD6BB8"/>
    <w:rsid w:val="00BE099D"/>
    <w:rsid w:val="00BE0B2D"/>
    <w:rsid w:val="00BE0B80"/>
    <w:rsid w:val="00BE457C"/>
    <w:rsid w:val="00BF0C0C"/>
    <w:rsid w:val="00BF3022"/>
    <w:rsid w:val="00BF3E09"/>
    <w:rsid w:val="00BF4F40"/>
    <w:rsid w:val="00BF7397"/>
    <w:rsid w:val="00C027E5"/>
    <w:rsid w:val="00C10320"/>
    <w:rsid w:val="00C14712"/>
    <w:rsid w:val="00C15B9A"/>
    <w:rsid w:val="00C24D9F"/>
    <w:rsid w:val="00C27CA9"/>
    <w:rsid w:val="00C33CF6"/>
    <w:rsid w:val="00C40093"/>
    <w:rsid w:val="00C415AF"/>
    <w:rsid w:val="00C41721"/>
    <w:rsid w:val="00C523F7"/>
    <w:rsid w:val="00C562E5"/>
    <w:rsid w:val="00C57722"/>
    <w:rsid w:val="00C615F6"/>
    <w:rsid w:val="00C63526"/>
    <w:rsid w:val="00C710C1"/>
    <w:rsid w:val="00C76A83"/>
    <w:rsid w:val="00C81274"/>
    <w:rsid w:val="00C82213"/>
    <w:rsid w:val="00C83975"/>
    <w:rsid w:val="00C83AE1"/>
    <w:rsid w:val="00C94397"/>
    <w:rsid w:val="00CA0FE4"/>
    <w:rsid w:val="00CB4546"/>
    <w:rsid w:val="00CC3E77"/>
    <w:rsid w:val="00CD4979"/>
    <w:rsid w:val="00CD5F49"/>
    <w:rsid w:val="00CD609D"/>
    <w:rsid w:val="00CD7768"/>
    <w:rsid w:val="00CE21E0"/>
    <w:rsid w:val="00CE7724"/>
    <w:rsid w:val="00CE792C"/>
    <w:rsid w:val="00CE7E66"/>
    <w:rsid w:val="00CF5116"/>
    <w:rsid w:val="00D004A1"/>
    <w:rsid w:val="00D004AE"/>
    <w:rsid w:val="00D03402"/>
    <w:rsid w:val="00D06AAD"/>
    <w:rsid w:val="00D10367"/>
    <w:rsid w:val="00D1459B"/>
    <w:rsid w:val="00D1697A"/>
    <w:rsid w:val="00D175E3"/>
    <w:rsid w:val="00D25189"/>
    <w:rsid w:val="00D254B6"/>
    <w:rsid w:val="00D27782"/>
    <w:rsid w:val="00D30FF8"/>
    <w:rsid w:val="00D34734"/>
    <w:rsid w:val="00D348EF"/>
    <w:rsid w:val="00D352C6"/>
    <w:rsid w:val="00D455D6"/>
    <w:rsid w:val="00D476A4"/>
    <w:rsid w:val="00D47C29"/>
    <w:rsid w:val="00D560F6"/>
    <w:rsid w:val="00D61BAC"/>
    <w:rsid w:val="00D61F13"/>
    <w:rsid w:val="00D642B7"/>
    <w:rsid w:val="00D64EFC"/>
    <w:rsid w:val="00D65444"/>
    <w:rsid w:val="00D75107"/>
    <w:rsid w:val="00D76E66"/>
    <w:rsid w:val="00D82F73"/>
    <w:rsid w:val="00D87A6F"/>
    <w:rsid w:val="00D904D6"/>
    <w:rsid w:val="00D912E7"/>
    <w:rsid w:val="00DA5412"/>
    <w:rsid w:val="00DA5D68"/>
    <w:rsid w:val="00DB20A2"/>
    <w:rsid w:val="00DB4CB8"/>
    <w:rsid w:val="00DB59D2"/>
    <w:rsid w:val="00DC3E9B"/>
    <w:rsid w:val="00DC6399"/>
    <w:rsid w:val="00DD068D"/>
    <w:rsid w:val="00DD42A5"/>
    <w:rsid w:val="00DD4D6D"/>
    <w:rsid w:val="00DE4863"/>
    <w:rsid w:val="00DE6B56"/>
    <w:rsid w:val="00DF0EC7"/>
    <w:rsid w:val="00DF2803"/>
    <w:rsid w:val="00DF7BA2"/>
    <w:rsid w:val="00E0754D"/>
    <w:rsid w:val="00E1203A"/>
    <w:rsid w:val="00E129CE"/>
    <w:rsid w:val="00E12B13"/>
    <w:rsid w:val="00E12D07"/>
    <w:rsid w:val="00E170A4"/>
    <w:rsid w:val="00E234B5"/>
    <w:rsid w:val="00E250E6"/>
    <w:rsid w:val="00E27375"/>
    <w:rsid w:val="00E37F8A"/>
    <w:rsid w:val="00E43E3C"/>
    <w:rsid w:val="00E461EB"/>
    <w:rsid w:val="00E63BE7"/>
    <w:rsid w:val="00E679D1"/>
    <w:rsid w:val="00E71244"/>
    <w:rsid w:val="00E72CA3"/>
    <w:rsid w:val="00E836E9"/>
    <w:rsid w:val="00E83F64"/>
    <w:rsid w:val="00E84E54"/>
    <w:rsid w:val="00E85B82"/>
    <w:rsid w:val="00E87B35"/>
    <w:rsid w:val="00E93089"/>
    <w:rsid w:val="00E95E17"/>
    <w:rsid w:val="00E971A2"/>
    <w:rsid w:val="00EA34B8"/>
    <w:rsid w:val="00EA3847"/>
    <w:rsid w:val="00EA4A19"/>
    <w:rsid w:val="00EA5448"/>
    <w:rsid w:val="00EA5798"/>
    <w:rsid w:val="00EB0F99"/>
    <w:rsid w:val="00EC1805"/>
    <w:rsid w:val="00EC211B"/>
    <w:rsid w:val="00EC5DBD"/>
    <w:rsid w:val="00EC5F70"/>
    <w:rsid w:val="00EC6CF8"/>
    <w:rsid w:val="00EC74A6"/>
    <w:rsid w:val="00ED1897"/>
    <w:rsid w:val="00ED5B71"/>
    <w:rsid w:val="00EE317B"/>
    <w:rsid w:val="00EE6903"/>
    <w:rsid w:val="00EE7E72"/>
    <w:rsid w:val="00EF3AD9"/>
    <w:rsid w:val="00F030C4"/>
    <w:rsid w:val="00F05687"/>
    <w:rsid w:val="00F07450"/>
    <w:rsid w:val="00F10883"/>
    <w:rsid w:val="00F1171A"/>
    <w:rsid w:val="00F12440"/>
    <w:rsid w:val="00F150E8"/>
    <w:rsid w:val="00F16D6A"/>
    <w:rsid w:val="00F21728"/>
    <w:rsid w:val="00F23671"/>
    <w:rsid w:val="00F32CE7"/>
    <w:rsid w:val="00F35B6F"/>
    <w:rsid w:val="00F37881"/>
    <w:rsid w:val="00F40BA8"/>
    <w:rsid w:val="00F47057"/>
    <w:rsid w:val="00F50E1C"/>
    <w:rsid w:val="00F5467F"/>
    <w:rsid w:val="00F578F1"/>
    <w:rsid w:val="00F6174F"/>
    <w:rsid w:val="00F62C71"/>
    <w:rsid w:val="00F62DAB"/>
    <w:rsid w:val="00F63C53"/>
    <w:rsid w:val="00F655D3"/>
    <w:rsid w:val="00F65761"/>
    <w:rsid w:val="00F72066"/>
    <w:rsid w:val="00F76D45"/>
    <w:rsid w:val="00F80BF3"/>
    <w:rsid w:val="00F80D5B"/>
    <w:rsid w:val="00F818CB"/>
    <w:rsid w:val="00F841BA"/>
    <w:rsid w:val="00F84C18"/>
    <w:rsid w:val="00F85653"/>
    <w:rsid w:val="00F87347"/>
    <w:rsid w:val="00F87E48"/>
    <w:rsid w:val="00F92AB0"/>
    <w:rsid w:val="00F93BDE"/>
    <w:rsid w:val="00F94CCD"/>
    <w:rsid w:val="00F95EE3"/>
    <w:rsid w:val="00FA0E01"/>
    <w:rsid w:val="00FA728C"/>
    <w:rsid w:val="00FB40BB"/>
    <w:rsid w:val="00FB430F"/>
    <w:rsid w:val="00FB5E38"/>
    <w:rsid w:val="00FC5133"/>
    <w:rsid w:val="00FC6435"/>
    <w:rsid w:val="00FD1683"/>
    <w:rsid w:val="00FD4E1D"/>
    <w:rsid w:val="00FE1C9A"/>
    <w:rsid w:val="00FE4257"/>
    <w:rsid w:val="00FE6216"/>
    <w:rsid w:val="00FF1F3E"/>
    <w:rsid w:val="00FF32CB"/>
    <w:rsid w:val="00FF5718"/>
    <w:rsid w:val="00FF6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85">
      <o:colormenu v:ext="edit" strokecolor="none [2092]"/>
    </o:shapedefaults>
    <o:shapelayout v:ext="edit">
      <o:idmap v:ext="edit" data="1"/>
      <o:rules v:ext="edit">
        <o:r id="V:Rule5" type="connector" idref="#AutoShape 2"/>
        <o:r id="V:Rule6" type="connector" idref="#AutoShape 47"/>
        <o:r id="V:Rule7" type="connector" idref="#AutoShape 48"/>
        <o:r id="V:Rule8" type="connector" idref="#AutoShape 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AAE"/>
  </w:style>
  <w:style w:type="paragraph" w:styleId="1">
    <w:name w:val="heading 1"/>
    <w:basedOn w:val="a"/>
    <w:next w:val="a"/>
    <w:link w:val="10"/>
    <w:uiPriority w:val="9"/>
    <w:qFormat/>
    <w:rsid w:val="000801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2551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303D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1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2551AC"/>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1560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6092"/>
    <w:rPr>
      <w:rFonts w:ascii="Tahoma" w:hAnsi="Tahoma" w:cs="Tahoma"/>
      <w:sz w:val="16"/>
      <w:szCs w:val="16"/>
    </w:rPr>
  </w:style>
  <w:style w:type="paragraph" w:styleId="a5">
    <w:name w:val="TOC Heading"/>
    <w:basedOn w:val="1"/>
    <w:next w:val="a"/>
    <w:uiPriority w:val="39"/>
    <w:unhideWhenUsed/>
    <w:qFormat/>
    <w:rsid w:val="0008011A"/>
    <w:pPr>
      <w:outlineLvl w:val="9"/>
    </w:pPr>
  </w:style>
  <w:style w:type="paragraph" w:styleId="21">
    <w:name w:val="toc 2"/>
    <w:basedOn w:val="a"/>
    <w:next w:val="a"/>
    <w:autoRedefine/>
    <w:uiPriority w:val="39"/>
    <w:unhideWhenUsed/>
    <w:qFormat/>
    <w:rsid w:val="0091558F"/>
    <w:pPr>
      <w:tabs>
        <w:tab w:val="right" w:leader="dot" w:pos="8494"/>
      </w:tabs>
      <w:spacing w:after="100"/>
    </w:pPr>
  </w:style>
  <w:style w:type="paragraph" w:styleId="11">
    <w:name w:val="toc 1"/>
    <w:basedOn w:val="a"/>
    <w:next w:val="a"/>
    <w:autoRedefine/>
    <w:uiPriority w:val="39"/>
    <w:unhideWhenUsed/>
    <w:qFormat/>
    <w:rsid w:val="0091558F"/>
    <w:pPr>
      <w:tabs>
        <w:tab w:val="right" w:leader="dot" w:pos="8505"/>
      </w:tabs>
      <w:spacing w:after="100"/>
    </w:pPr>
  </w:style>
  <w:style w:type="paragraph" w:styleId="31">
    <w:name w:val="toc 3"/>
    <w:basedOn w:val="a"/>
    <w:next w:val="a"/>
    <w:autoRedefine/>
    <w:uiPriority w:val="39"/>
    <w:semiHidden/>
    <w:unhideWhenUsed/>
    <w:qFormat/>
    <w:rsid w:val="0008011A"/>
    <w:pPr>
      <w:spacing w:after="100"/>
      <w:ind w:left="440"/>
    </w:pPr>
  </w:style>
  <w:style w:type="character" w:styleId="a6">
    <w:name w:val="Hyperlink"/>
    <w:basedOn w:val="a0"/>
    <w:uiPriority w:val="99"/>
    <w:unhideWhenUsed/>
    <w:rsid w:val="0008011A"/>
    <w:rPr>
      <w:color w:val="0000FF" w:themeColor="hyperlink"/>
      <w:u w:val="single"/>
    </w:rPr>
  </w:style>
  <w:style w:type="paragraph" w:styleId="a7">
    <w:name w:val="header"/>
    <w:basedOn w:val="a"/>
    <w:link w:val="a8"/>
    <w:unhideWhenUsed/>
    <w:rsid w:val="0029002E"/>
    <w:pPr>
      <w:tabs>
        <w:tab w:val="center" w:pos="4677"/>
        <w:tab w:val="right" w:pos="9355"/>
      </w:tabs>
      <w:spacing w:after="0" w:line="240" w:lineRule="auto"/>
    </w:pPr>
  </w:style>
  <w:style w:type="character" w:customStyle="1" w:styleId="a8">
    <w:name w:val="Верхний колонтитул Знак"/>
    <w:basedOn w:val="a0"/>
    <w:link w:val="a7"/>
    <w:rsid w:val="0029002E"/>
  </w:style>
  <w:style w:type="paragraph" w:styleId="a9">
    <w:name w:val="footer"/>
    <w:basedOn w:val="a"/>
    <w:link w:val="aa"/>
    <w:uiPriority w:val="99"/>
    <w:unhideWhenUsed/>
    <w:rsid w:val="002900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9002E"/>
  </w:style>
  <w:style w:type="paragraph" w:styleId="ab">
    <w:name w:val="Normal (Web)"/>
    <w:aliases w:val="Обычный (веб)1,Обычный (веб) Знак,Обычный (веб) Знак1,Обычный (веб) Знак Знак"/>
    <w:basedOn w:val="a"/>
    <w:unhideWhenUsed/>
    <w:rsid w:val="00C57722"/>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C57722"/>
    <w:rPr>
      <w:b/>
      <w:bCs/>
    </w:rPr>
  </w:style>
  <w:style w:type="table" w:styleId="ad">
    <w:name w:val="Table Grid"/>
    <w:basedOn w:val="a1"/>
    <w:uiPriority w:val="59"/>
    <w:rsid w:val="000F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673A6"/>
    <w:pPr>
      <w:ind w:left="720"/>
      <w:contextualSpacing/>
    </w:pPr>
  </w:style>
  <w:style w:type="paragraph" w:customStyle="1" w:styleId="2014">
    <w:name w:val="Годовой отчет_2014"/>
    <w:basedOn w:val="a"/>
    <w:link w:val="20140"/>
    <w:qFormat/>
    <w:rsid w:val="00510D7E"/>
    <w:pPr>
      <w:spacing w:after="120" w:line="240" w:lineRule="auto"/>
      <w:jc w:val="both"/>
    </w:pPr>
    <w:rPr>
      <w:rFonts w:ascii="Georgia" w:hAnsi="Georgia"/>
      <w:sz w:val="24"/>
      <w:szCs w:val="24"/>
    </w:rPr>
  </w:style>
  <w:style w:type="character" w:customStyle="1" w:styleId="20140">
    <w:name w:val="Годовой отчет_2014 Знак"/>
    <w:basedOn w:val="a0"/>
    <w:link w:val="2014"/>
    <w:rsid w:val="00510D7E"/>
    <w:rPr>
      <w:rFonts w:ascii="Georgia" w:hAnsi="Georgia"/>
      <w:sz w:val="24"/>
      <w:szCs w:val="24"/>
    </w:rPr>
  </w:style>
  <w:style w:type="paragraph" w:customStyle="1" w:styleId="text">
    <w:name w:val="text"/>
    <w:basedOn w:val="a"/>
    <w:uiPriority w:val="99"/>
    <w:rsid w:val="002551AC"/>
    <w:pPr>
      <w:spacing w:after="0" w:line="240" w:lineRule="auto"/>
    </w:pPr>
    <w:rPr>
      <w:rFonts w:ascii="Times New Roman" w:eastAsia="Times New Roman" w:hAnsi="Times New Roman" w:cs="Times New Roman"/>
      <w:sz w:val="19"/>
      <w:szCs w:val="19"/>
    </w:rPr>
  </w:style>
  <w:style w:type="paragraph" w:customStyle="1" w:styleId="af">
    <w:name w:val="Стиль"/>
    <w:basedOn w:val="a"/>
    <w:rsid w:val="00454595"/>
    <w:pPr>
      <w:spacing w:after="160" w:line="240" w:lineRule="exact"/>
      <w:ind w:firstLine="567"/>
      <w:jc w:val="both"/>
    </w:pPr>
    <w:rPr>
      <w:rFonts w:ascii="Verdana" w:eastAsia="Times New Roman" w:hAnsi="Verdana" w:cs="Verdana"/>
      <w:sz w:val="20"/>
      <w:szCs w:val="20"/>
      <w:lang w:val="en-US"/>
    </w:rPr>
  </w:style>
  <w:style w:type="character" w:customStyle="1" w:styleId="textmenu1">
    <w:name w:val="text_menu1"/>
    <w:rsid w:val="0076644F"/>
    <w:rPr>
      <w:rFonts w:ascii="Tahoma" w:hAnsi="Tahoma"/>
      <w:color w:val="166E9E"/>
      <w:sz w:val="18"/>
      <w:u w:val="none"/>
      <w:effect w:val="none"/>
    </w:rPr>
  </w:style>
  <w:style w:type="paragraph" w:customStyle="1" w:styleId="darkblue">
    <w:name w:val="dark_blue"/>
    <w:basedOn w:val="a"/>
    <w:rsid w:val="0076644F"/>
    <w:pPr>
      <w:spacing w:before="100" w:beforeAutospacing="1" w:after="100" w:afterAutospacing="1" w:line="240" w:lineRule="auto"/>
    </w:pPr>
    <w:rPr>
      <w:rFonts w:ascii="Tahoma" w:eastAsia="Times New Roman" w:hAnsi="Tahoma" w:cs="Tahoma"/>
      <w:b/>
      <w:bCs/>
      <w:color w:val="166E9E"/>
      <w:sz w:val="18"/>
      <w:szCs w:val="18"/>
    </w:rPr>
  </w:style>
  <w:style w:type="character" w:customStyle="1" w:styleId="relizetitle">
    <w:name w:val="relize_title"/>
    <w:rsid w:val="00223845"/>
    <w:rPr>
      <w:rFonts w:cs="Times New Roman"/>
    </w:rPr>
  </w:style>
  <w:style w:type="paragraph" w:styleId="af0">
    <w:name w:val="footnote text"/>
    <w:basedOn w:val="a"/>
    <w:link w:val="af1"/>
    <w:uiPriority w:val="99"/>
    <w:semiHidden/>
    <w:unhideWhenUsed/>
    <w:rsid w:val="00DE4863"/>
    <w:pPr>
      <w:spacing w:after="0" w:line="240" w:lineRule="auto"/>
    </w:pPr>
    <w:rPr>
      <w:sz w:val="20"/>
      <w:szCs w:val="20"/>
    </w:rPr>
  </w:style>
  <w:style w:type="character" w:customStyle="1" w:styleId="af1">
    <w:name w:val="Текст сноски Знак"/>
    <w:basedOn w:val="a0"/>
    <w:link w:val="af0"/>
    <w:uiPriority w:val="99"/>
    <w:semiHidden/>
    <w:rsid w:val="00DE4863"/>
    <w:rPr>
      <w:sz w:val="20"/>
      <w:szCs w:val="20"/>
    </w:rPr>
  </w:style>
  <w:style w:type="character" w:styleId="af2">
    <w:name w:val="footnote reference"/>
    <w:basedOn w:val="a0"/>
    <w:uiPriority w:val="99"/>
    <w:semiHidden/>
    <w:unhideWhenUsed/>
    <w:rsid w:val="00DE4863"/>
    <w:rPr>
      <w:vertAlign w:val="superscript"/>
    </w:rPr>
  </w:style>
  <w:style w:type="paragraph" w:customStyle="1" w:styleId="Default">
    <w:name w:val="Default"/>
    <w:rsid w:val="009A2C34"/>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30">
    <w:name w:val="Заголовок 3 Знак"/>
    <w:basedOn w:val="a0"/>
    <w:link w:val="3"/>
    <w:uiPriority w:val="9"/>
    <w:rsid w:val="009303D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801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2551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11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2551AC"/>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1560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6092"/>
    <w:rPr>
      <w:rFonts w:ascii="Tahoma" w:hAnsi="Tahoma" w:cs="Tahoma"/>
      <w:sz w:val="16"/>
      <w:szCs w:val="16"/>
    </w:rPr>
  </w:style>
  <w:style w:type="paragraph" w:styleId="a5">
    <w:name w:val="TOC Heading"/>
    <w:basedOn w:val="1"/>
    <w:next w:val="a"/>
    <w:uiPriority w:val="39"/>
    <w:unhideWhenUsed/>
    <w:qFormat/>
    <w:rsid w:val="0008011A"/>
    <w:pPr>
      <w:outlineLvl w:val="9"/>
    </w:pPr>
  </w:style>
  <w:style w:type="paragraph" w:styleId="21">
    <w:name w:val="toc 2"/>
    <w:basedOn w:val="a"/>
    <w:next w:val="a"/>
    <w:autoRedefine/>
    <w:uiPriority w:val="39"/>
    <w:unhideWhenUsed/>
    <w:qFormat/>
    <w:rsid w:val="0008011A"/>
    <w:pPr>
      <w:spacing w:after="100"/>
      <w:ind w:left="220"/>
    </w:pPr>
  </w:style>
  <w:style w:type="paragraph" w:styleId="11">
    <w:name w:val="toc 1"/>
    <w:basedOn w:val="a"/>
    <w:next w:val="a"/>
    <w:autoRedefine/>
    <w:uiPriority w:val="39"/>
    <w:unhideWhenUsed/>
    <w:qFormat/>
    <w:rsid w:val="0008011A"/>
    <w:pPr>
      <w:spacing w:after="100"/>
    </w:pPr>
  </w:style>
  <w:style w:type="paragraph" w:styleId="31">
    <w:name w:val="toc 3"/>
    <w:basedOn w:val="a"/>
    <w:next w:val="a"/>
    <w:autoRedefine/>
    <w:uiPriority w:val="39"/>
    <w:semiHidden/>
    <w:unhideWhenUsed/>
    <w:qFormat/>
    <w:rsid w:val="0008011A"/>
    <w:pPr>
      <w:spacing w:after="100"/>
      <w:ind w:left="440"/>
    </w:pPr>
  </w:style>
  <w:style w:type="character" w:styleId="a6">
    <w:name w:val="Hyperlink"/>
    <w:basedOn w:val="a0"/>
    <w:uiPriority w:val="99"/>
    <w:unhideWhenUsed/>
    <w:rsid w:val="0008011A"/>
    <w:rPr>
      <w:color w:val="0000FF" w:themeColor="hyperlink"/>
      <w:u w:val="single"/>
    </w:rPr>
  </w:style>
  <w:style w:type="paragraph" w:styleId="a7">
    <w:name w:val="header"/>
    <w:basedOn w:val="a"/>
    <w:link w:val="a8"/>
    <w:unhideWhenUsed/>
    <w:rsid w:val="0029002E"/>
    <w:pPr>
      <w:tabs>
        <w:tab w:val="center" w:pos="4677"/>
        <w:tab w:val="right" w:pos="9355"/>
      </w:tabs>
      <w:spacing w:after="0" w:line="240" w:lineRule="auto"/>
    </w:pPr>
  </w:style>
  <w:style w:type="character" w:customStyle="1" w:styleId="a8">
    <w:name w:val="Верхний колонтитул Знак"/>
    <w:basedOn w:val="a0"/>
    <w:link w:val="a7"/>
    <w:rsid w:val="0029002E"/>
  </w:style>
  <w:style w:type="paragraph" w:styleId="a9">
    <w:name w:val="footer"/>
    <w:basedOn w:val="a"/>
    <w:link w:val="aa"/>
    <w:uiPriority w:val="99"/>
    <w:unhideWhenUsed/>
    <w:rsid w:val="002900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9002E"/>
  </w:style>
  <w:style w:type="paragraph" w:styleId="ab">
    <w:name w:val="Normal (Web)"/>
    <w:aliases w:val="Обычный (веб)1,Обычный (веб) Знак,Обычный (веб) Знак1,Обычный (веб) Знак Знак"/>
    <w:basedOn w:val="a"/>
    <w:uiPriority w:val="99"/>
    <w:unhideWhenUsed/>
    <w:rsid w:val="00C57722"/>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C57722"/>
    <w:rPr>
      <w:b/>
      <w:bCs/>
    </w:rPr>
  </w:style>
  <w:style w:type="table" w:styleId="ad">
    <w:name w:val="Table Grid"/>
    <w:basedOn w:val="a1"/>
    <w:uiPriority w:val="59"/>
    <w:rsid w:val="000F5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673A6"/>
    <w:pPr>
      <w:ind w:left="720"/>
      <w:contextualSpacing/>
    </w:pPr>
  </w:style>
  <w:style w:type="paragraph" w:customStyle="1" w:styleId="2014">
    <w:name w:val="Годовой отчет_2014"/>
    <w:basedOn w:val="a"/>
    <w:link w:val="20140"/>
    <w:qFormat/>
    <w:rsid w:val="00510D7E"/>
    <w:pPr>
      <w:spacing w:after="120" w:line="240" w:lineRule="auto"/>
      <w:jc w:val="both"/>
    </w:pPr>
    <w:rPr>
      <w:rFonts w:ascii="Georgia" w:hAnsi="Georgia"/>
      <w:sz w:val="24"/>
      <w:szCs w:val="24"/>
    </w:rPr>
  </w:style>
  <w:style w:type="character" w:customStyle="1" w:styleId="20140">
    <w:name w:val="Годовой отчет_2014 Знак"/>
    <w:basedOn w:val="a0"/>
    <w:link w:val="2014"/>
    <w:rsid w:val="00510D7E"/>
    <w:rPr>
      <w:rFonts w:ascii="Georgia" w:hAnsi="Georgia"/>
      <w:sz w:val="24"/>
      <w:szCs w:val="24"/>
    </w:rPr>
  </w:style>
  <w:style w:type="paragraph" w:customStyle="1" w:styleId="text">
    <w:name w:val="text"/>
    <w:basedOn w:val="a"/>
    <w:uiPriority w:val="99"/>
    <w:rsid w:val="002551AC"/>
    <w:pPr>
      <w:spacing w:after="0" w:line="240" w:lineRule="auto"/>
    </w:pPr>
    <w:rPr>
      <w:rFonts w:ascii="Times New Roman" w:eastAsia="Times New Roman" w:hAnsi="Times New Roman" w:cs="Times New Roman"/>
      <w:sz w:val="19"/>
      <w:szCs w:val="19"/>
    </w:rPr>
  </w:style>
  <w:style w:type="paragraph" w:customStyle="1" w:styleId="af">
    <w:name w:val="Стиль"/>
    <w:basedOn w:val="a"/>
    <w:rsid w:val="00454595"/>
    <w:pPr>
      <w:spacing w:after="160" w:line="240" w:lineRule="exact"/>
      <w:ind w:firstLine="567"/>
      <w:jc w:val="both"/>
    </w:pPr>
    <w:rPr>
      <w:rFonts w:ascii="Verdana" w:eastAsia="Times New Roman" w:hAnsi="Verdana" w:cs="Verdana"/>
      <w:sz w:val="20"/>
      <w:szCs w:val="20"/>
      <w:lang w:val="en-US"/>
    </w:rPr>
  </w:style>
  <w:style w:type="character" w:customStyle="1" w:styleId="textmenu1">
    <w:name w:val="text_menu1"/>
    <w:rsid w:val="0076644F"/>
    <w:rPr>
      <w:rFonts w:ascii="Tahoma" w:hAnsi="Tahoma"/>
      <w:color w:val="166E9E"/>
      <w:sz w:val="18"/>
      <w:u w:val="none"/>
      <w:effect w:val="none"/>
    </w:rPr>
  </w:style>
  <w:style w:type="paragraph" w:customStyle="1" w:styleId="darkblue">
    <w:name w:val="dark_blue"/>
    <w:basedOn w:val="a"/>
    <w:rsid w:val="0076644F"/>
    <w:pPr>
      <w:spacing w:before="100" w:beforeAutospacing="1" w:after="100" w:afterAutospacing="1" w:line="240" w:lineRule="auto"/>
    </w:pPr>
    <w:rPr>
      <w:rFonts w:ascii="Tahoma" w:eastAsia="Times New Roman" w:hAnsi="Tahoma" w:cs="Tahoma"/>
      <w:b/>
      <w:bCs/>
      <w:color w:val="166E9E"/>
      <w:sz w:val="18"/>
      <w:szCs w:val="18"/>
    </w:rPr>
  </w:style>
  <w:style w:type="character" w:customStyle="1" w:styleId="relizetitle">
    <w:name w:val="relize_title"/>
    <w:rsid w:val="0022384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5503">
      <w:bodyDiv w:val="1"/>
      <w:marLeft w:val="0"/>
      <w:marRight w:val="0"/>
      <w:marTop w:val="0"/>
      <w:marBottom w:val="0"/>
      <w:divBdr>
        <w:top w:val="none" w:sz="0" w:space="0" w:color="auto"/>
        <w:left w:val="none" w:sz="0" w:space="0" w:color="auto"/>
        <w:bottom w:val="none" w:sz="0" w:space="0" w:color="auto"/>
        <w:right w:val="none" w:sz="0" w:space="0" w:color="auto"/>
      </w:divBdr>
    </w:div>
    <w:div w:id="64108891">
      <w:bodyDiv w:val="1"/>
      <w:marLeft w:val="0"/>
      <w:marRight w:val="0"/>
      <w:marTop w:val="0"/>
      <w:marBottom w:val="0"/>
      <w:divBdr>
        <w:top w:val="none" w:sz="0" w:space="0" w:color="auto"/>
        <w:left w:val="none" w:sz="0" w:space="0" w:color="auto"/>
        <w:bottom w:val="none" w:sz="0" w:space="0" w:color="auto"/>
        <w:right w:val="none" w:sz="0" w:space="0" w:color="auto"/>
      </w:divBdr>
    </w:div>
    <w:div w:id="133764129">
      <w:bodyDiv w:val="1"/>
      <w:marLeft w:val="0"/>
      <w:marRight w:val="0"/>
      <w:marTop w:val="0"/>
      <w:marBottom w:val="0"/>
      <w:divBdr>
        <w:top w:val="none" w:sz="0" w:space="0" w:color="auto"/>
        <w:left w:val="none" w:sz="0" w:space="0" w:color="auto"/>
        <w:bottom w:val="none" w:sz="0" w:space="0" w:color="auto"/>
        <w:right w:val="none" w:sz="0" w:space="0" w:color="auto"/>
      </w:divBdr>
    </w:div>
    <w:div w:id="143550627">
      <w:bodyDiv w:val="1"/>
      <w:marLeft w:val="0"/>
      <w:marRight w:val="0"/>
      <w:marTop w:val="0"/>
      <w:marBottom w:val="0"/>
      <w:divBdr>
        <w:top w:val="none" w:sz="0" w:space="0" w:color="auto"/>
        <w:left w:val="none" w:sz="0" w:space="0" w:color="auto"/>
        <w:bottom w:val="none" w:sz="0" w:space="0" w:color="auto"/>
        <w:right w:val="none" w:sz="0" w:space="0" w:color="auto"/>
      </w:divBdr>
    </w:div>
    <w:div w:id="144931386">
      <w:bodyDiv w:val="1"/>
      <w:marLeft w:val="0"/>
      <w:marRight w:val="0"/>
      <w:marTop w:val="0"/>
      <w:marBottom w:val="0"/>
      <w:divBdr>
        <w:top w:val="none" w:sz="0" w:space="0" w:color="auto"/>
        <w:left w:val="none" w:sz="0" w:space="0" w:color="auto"/>
        <w:bottom w:val="none" w:sz="0" w:space="0" w:color="auto"/>
        <w:right w:val="none" w:sz="0" w:space="0" w:color="auto"/>
      </w:divBdr>
    </w:div>
    <w:div w:id="148182116">
      <w:bodyDiv w:val="1"/>
      <w:marLeft w:val="0"/>
      <w:marRight w:val="0"/>
      <w:marTop w:val="0"/>
      <w:marBottom w:val="0"/>
      <w:divBdr>
        <w:top w:val="none" w:sz="0" w:space="0" w:color="auto"/>
        <w:left w:val="none" w:sz="0" w:space="0" w:color="auto"/>
        <w:bottom w:val="none" w:sz="0" w:space="0" w:color="auto"/>
        <w:right w:val="none" w:sz="0" w:space="0" w:color="auto"/>
      </w:divBdr>
    </w:div>
    <w:div w:id="174535352">
      <w:bodyDiv w:val="1"/>
      <w:marLeft w:val="0"/>
      <w:marRight w:val="0"/>
      <w:marTop w:val="0"/>
      <w:marBottom w:val="0"/>
      <w:divBdr>
        <w:top w:val="none" w:sz="0" w:space="0" w:color="auto"/>
        <w:left w:val="none" w:sz="0" w:space="0" w:color="auto"/>
        <w:bottom w:val="none" w:sz="0" w:space="0" w:color="auto"/>
        <w:right w:val="none" w:sz="0" w:space="0" w:color="auto"/>
      </w:divBdr>
    </w:div>
    <w:div w:id="220137572">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281346649">
      <w:bodyDiv w:val="1"/>
      <w:marLeft w:val="0"/>
      <w:marRight w:val="0"/>
      <w:marTop w:val="0"/>
      <w:marBottom w:val="0"/>
      <w:divBdr>
        <w:top w:val="none" w:sz="0" w:space="0" w:color="auto"/>
        <w:left w:val="none" w:sz="0" w:space="0" w:color="auto"/>
        <w:bottom w:val="none" w:sz="0" w:space="0" w:color="auto"/>
        <w:right w:val="none" w:sz="0" w:space="0" w:color="auto"/>
      </w:divBdr>
    </w:div>
    <w:div w:id="294529842">
      <w:bodyDiv w:val="1"/>
      <w:marLeft w:val="0"/>
      <w:marRight w:val="0"/>
      <w:marTop w:val="0"/>
      <w:marBottom w:val="0"/>
      <w:divBdr>
        <w:top w:val="none" w:sz="0" w:space="0" w:color="auto"/>
        <w:left w:val="none" w:sz="0" w:space="0" w:color="auto"/>
        <w:bottom w:val="none" w:sz="0" w:space="0" w:color="auto"/>
        <w:right w:val="none" w:sz="0" w:space="0" w:color="auto"/>
      </w:divBdr>
    </w:div>
    <w:div w:id="334453682">
      <w:bodyDiv w:val="1"/>
      <w:marLeft w:val="0"/>
      <w:marRight w:val="0"/>
      <w:marTop w:val="0"/>
      <w:marBottom w:val="0"/>
      <w:divBdr>
        <w:top w:val="none" w:sz="0" w:space="0" w:color="auto"/>
        <w:left w:val="none" w:sz="0" w:space="0" w:color="auto"/>
        <w:bottom w:val="none" w:sz="0" w:space="0" w:color="auto"/>
        <w:right w:val="none" w:sz="0" w:space="0" w:color="auto"/>
      </w:divBdr>
    </w:div>
    <w:div w:id="343283565">
      <w:bodyDiv w:val="1"/>
      <w:marLeft w:val="0"/>
      <w:marRight w:val="0"/>
      <w:marTop w:val="0"/>
      <w:marBottom w:val="0"/>
      <w:divBdr>
        <w:top w:val="none" w:sz="0" w:space="0" w:color="auto"/>
        <w:left w:val="none" w:sz="0" w:space="0" w:color="auto"/>
        <w:bottom w:val="none" w:sz="0" w:space="0" w:color="auto"/>
        <w:right w:val="none" w:sz="0" w:space="0" w:color="auto"/>
      </w:divBdr>
    </w:div>
    <w:div w:id="366180025">
      <w:bodyDiv w:val="1"/>
      <w:marLeft w:val="0"/>
      <w:marRight w:val="0"/>
      <w:marTop w:val="0"/>
      <w:marBottom w:val="0"/>
      <w:divBdr>
        <w:top w:val="none" w:sz="0" w:space="0" w:color="auto"/>
        <w:left w:val="none" w:sz="0" w:space="0" w:color="auto"/>
        <w:bottom w:val="none" w:sz="0" w:space="0" w:color="auto"/>
        <w:right w:val="none" w:sz="0" w:space="0" w:color="auto"/>
      </w:divBdr>
    </w:div>
    <w:div w:id="375860366">
      <w:bodyDiv w:val="1"/>
      <w:marLeft w:val="0"/>
      <w:marRight w:val="0"/>
      <w:marTop w:val="0"/>
      <w:marBottom w:val="0"/>
      <w:divBdr>
        <w:top w:val="none" w:sz="0" w:space="0" w:color="auto"/>
        <w:left w:val="none" w:sz="0" w:space="0" w:color="auto"/>
        <w:bottom w:val="none" w:sz="0" w:space="0" w:color="auto"/>
        <w:right w:val="none" w:sz="0" w:space="0" w:color="auto"/>
      </w:divBdr>
    </w:div>
    <w:div w:id="378627719">
      <w:bodyDiv w:val="1"/>
      <w:marLeft w:val="0"/>
      <w:marRight w:val="0"/>
      <w:marTop w:val="0"/>
      <w:marBottom w:val="0"/>
      <w:divBdr>
        <w:top w:val="none" w:sz="0" w:space="0" w:color="auto"/>
        <w:left w:val="none" w:sz="0" w:space="0" w:color="auto"/>
        <w:bottom w:val="none" w:sz="0" w:space="0" w:color="auto"/>
        <w:right w:val="none" w:sz="0" w:space="0" w:color="auto"/>
      </w:divBdr>
      <w:divsChild>
        <w:div w:id="1782917272">
          <w:marLeft w:val="0"/>
          <w:marRight w:val="0"/>
          <w:marTop w:val="0"/>
          <w:marBottom w:val="0"/>
          <w:divBdr>
            <w:top w:val="none" w:sz="0" w:space="0" w:color="auto"/>
            <w:left w:val="none" w:sz="0" w:space="0" w:color="auto"/>
            <w:bottom w:val="none" w:sz="0" w:space="0" w:color="auto"/>
            <w:right w:val="none" w:sz="0" w:space="0" w:color="auto"/>
          </w:divBdr>
        </w:div>
        <w:div w:id="1670675835">
          <w:marLeft w:val="0"/>
          <w:marRight w:val="0"/>
          <w:marTop w:val="0"/>
          <w:marBottom w:val="0"/>
          <w:divBdr>
            <w:top w:val="none" w:sz="0" w:space="0" w:color="auto"/>
            <w:left w:val="none" w:sz="0" w:space="0" w:color="auto"/>
            <w:bottom w:val="none" w:sz="0" w:space="0" w:color="auto"/>
            <w:right w:val="none" w:sz="0" w:space="0" w:color="auto"/>
          </w:divBdr>
        </w:div>
        <w:div w:id="320239630">
          <w:marLeft w:val="0"/>
          <w:marRight w:val="0"/>
          <w:marTop w:val="0"/>
          <w:marBottom w:val="0"/>
          <w:divBdr>
            <w:top w:val="none" w:sz="0" w:space="0" w:color="auto"/>
            <w:left w:val="none" w:sz="0" w:space="0" w:color="auto"/>
            <w:bottom w:val="none" w:sz="0" w:space="0" w:color="auto"/>
            <w:right w:val="none" w:sz="0" w:space="0" w:color="auto"/>
          </w:divBdr>
        </w:div>
        <w:div w:id="1377123131">
          <w:marLeft w:val="0"/>
          <w:marRight w:val="0"/>
          <w:marTop w:val="0"/>
          <w:marBottom w:val="0"/>
          <w:divBdr>
            <w:top w:val="none" w:sz="0" w:space="0" w:color="auto"/>
            <w:left w:val="none" w:sz="0" w:space="0" w:color="auto"/>
            <w:bottom w:val="none" w:sz="0" w:space="0" w:color="auto"/>
            <w:right w:val="none" w:sz="0" w:space="0" w:color="auto"/>
          </w:divBdr>
        </w:div>
        <w:div w:id="1692879087">
          <w:marLeft w:val="0"/>
          <w:marRight w:val="0"/>
          <w:marTop w:val="0"/>
          <w:marBottom w:val="0"/>
          <w:divBdr>
            <w:top w:val="none" w:sz="0" w:space="0" w:color="auto"/>
            <w:left w:val="none" w:sz="0" w:space="0" w:color="auto"/>
            <w:bottom w:val="none" w:sz="0" w:space="0" w:color="auto"/>
            <w:right w:val="none" w:sz="0" w:space="0" w:color="auto"/>
          </w:divBdr>
        </w:div>
        <w:div w:id="200942253">
          <w:marLeft w:val="0"/>
          <w:marRight w:val="0"/>
          <w:marTop w:val="0"/>
          <w:marBottom w:val="0"/>
          <w:divBdr>
            <w:top w:val="none" w:sz="0" w:space="0" w:color="auto"/>
            <w:left w:val="none" w:sz="0" w:space="0" w:color="auto"/>
            <w:bottom w:val="none" w:sz="0" w:space="0" w:color="auto"/>
            <w:right w:val="none" w:sz="0" w:space="0" w:color="auto"/>
          </w:divBdr>
        </w:div>
        <w:div w:id="1416781789">
          <w:marLeft w:val="0"/>
          <w:marRight w:val="0"/>
          <w:marTop w:val="0"/>
          <w:marBottom w:val="0"/>
          <w:divBdr>
            <w:top w:val="none" w:sz="0" w:space="0" w:color="auto"/>
            <w:left w:val="none" w:sz="0" w:space="0" w:color="auto"/>
            <w:bottom w:val="none" w:sz="0" w:space="0" w:color="auto"/>
            <w:right w:val="none" w:sz="0" w:space="0" w:color="auto"/>
          </w:divBdr>
        </w:div>
        <w:div w:id="1406805674">
          <w:marLeft w:val="0"/>
          <w:marRight w:val="0"/>
          <w:marTop w:val="0"/>
          <w:marBottom w:val="0"/>
          <w:divBdr>
            <w:top w:val="none" w:sz="0" w:space="0" w:color="auto"/>
            <w:left w:val="none" w:sz="0" w:space="0" w:color="auto"/>
            <w:bottom w:val="none" w:sz="0" w:space="0" w:color="auto"/>
            <w:right w:val="none" w:sz="0" w:space="0" w:color="auto"/>
          </w:divBdr>
        </w:div>
        <w:div w:id="1601596887">
          <w:marLeft w:val="0"/>
          <w:marRight w:val="0"/>
          <w:marTop w:val="0"/>
          <w:marBottom w:val="0"/>
          <w:divBdr>
            <w:top w:val="none" w:sz="0" w:space="0" w:color="auto"/>
            <w:left w:val="none" w:sz="0" w:space="0" w:color="auto"/>
            <w:bottom w:val="none" w:sz="0" w:space="0" w:color="auto"/>
            <w:right w:val="none" w:sz="0" w:space="0" w:color="auto"/>
          </w:divBdr>
        </w:div>
        <w:div w:id="2094234711">
          <w:marLeft w:val="0"/>
          <w:marRight w:val="0"/>
          <w:marTop w:val="0"/>
          <w:marBottom w:val="0"/>
          <w:divBdr>
            <w:top w:val="none" w:sz="0" w:space="0" w:color="auto"/>
            <w:left w:val="none" w:sz="0" w:space="0" w:color="auto"/>
            <w:bottom w:val="none" w:sz="0" w:space="0" w:color="auto"/>
            <w:right w:val="none" w:sz="0" w:space="0" w:color="auto"/>
          </w:divBdr>
        </w:div>
        <w:div w:id="949969894">
          <w:marLeft w:val="0"/>
          <w:marRight w:val="0"/>
          <w:marTop w:val="0"/>
          <w:marBottom w:val="0"/>
          <w:divBdr>
            <w:top w:val="none" w:sz="0" w:space="0" w:color="auto"/>
            <w:left w:val="none" w:sz="0" w:space="0" w:color="auto"/>
            <w:bottom w:val="none" w:sz="0" w:space="0" w:color="auto"/>
            <w:right w:val="none" w:sz="0" w:space="0" w:color="auto"/>
          </w:divBdr>
        </w:div>
        <w:div w:id="482937856">
          <w:marLeft w:val="0"/>
          <w:marRight w:val="0"/>
          <w:marTop w:val="0"/>
          <w:marBottom w:val="0"/>
          <w:divBdr>
            <w:top w:val="none" w:sz="0" w:space="0" w:color="auto"/>
            <w:left w:val="none" w:sz="0" w:space="0" w:color="auto"/>
            <w:bottom w:val="none" w:sz="0" w:space="0" w:color="auto"/>
            <w:right w:val="none" w:sz="0" w:space="0" w:color="auto"/>
          </w:divBdr>
        </w:div>
        <w:div w:id="1929340687">
          <w:marLeft w:val="0"/>
          <w:marRight w:val="0"/>
          <w:marTop w:val="0"/>
          <w:marBottom w:val="0"/>
          <w:divBdr>
            <w:top w:val="none" w:sz="0" w:space="0" w:color="auto"/>
            <w:left w:val="none" w:sz="0" w:space="0" w:color="auto"/>
            <w:bottom w:val="none" w:sz="0" w:space="0" w:color="auto"/>
            <w:right w:val="none" w:sz="0" w:space="0" w:color="auto"/>
          </w:divBdr>
        </w:div>
        <w:div w:id="1564755790">
          <w:marLeft w:val="0"/>
          <w:marRight w:val="0"/>
          <w:marTop w:val="0"/>
          <w:marBottom w:val="0"/>
          <w:divBdr>
            <w:top w:val="none" w:sz="0" w:space="0" w:color="auto"/>
            <w:left w:val="none" w:sz="0" w:space="0" w:color="auto"/>
            <w:bottom w:val="none" w:sz="0" w:space="0" w:color="auto"/>
            <w:right w:val="none" w:sz="0" w:space="0" w:color="auto"/>
          </w:divBdr>
        </w:div>
        <w:div w:id="622075239">
          <w:marLeft w:val="0"/>
          <w:marRight w:val="0"/>
          <w:marTop w:val="0"/>
          <w:marBottom w:val="0"/>
          <w:divBdr>
            <w:top w:val="none" w:sz="0" w:space="0" w:color="auto"/>
            <w:left w:val="none" w:sz="0" w:space="0" w:color="auto"/>
            <w:bottom w:val="none" w:sz="0" w:space="0" w:color="auto"/>
            <w:right w:val="none" w:sz="0" w:space="0" w:color="auto"/>
          </w:divBdr>
        </w:div>
      </w:divsChild>
    </w:div>
    <w:div w:id="379088954">
      <w:bodyDiv w:val="1"/>
      <w:marLeft w:val="0"/>
      <w:marRight w:val="0"/>
      <w:marTop w:val="0"/>
      <w:marBottom w:val="0"/>
      <w:divBdr>
        <w:top w:val="none" w:sz="0" w:space="0" w:color="auto"/>
        <w:left w:val="none" w:sz="0" w:space="0" w:color="auto"/>
        <w:bottom w:val="none" w:sz="0" w:space="0" w:color="auto"/>
        <w:right w:val="none" w:sz="0" w:space="0" w:color="auto"/>
      </w:divBdr>
    </w:div>
    <w:div w:id="415368615">
      <w:bodyDiv w:val="1"/>
      <w:marLeft w:val="0"/>
      <w:marRight w:val="0"/>
      <w:marTop w:val="0"/>
      <w:marBottom w:val="0"/>
      <w:divBdr>
        <w:top w:val="none" w:sz="0" w:space="0" w:color="auto"/>
        <w:left w:val="none" w:sz="0" w:space="0" w:color="auto"/>
        <w:bottom w:val="none" w:sz="0" w:space="0" w:color="auto"/>
        <w:right w:val="none" w:sz="0" w:space="0" w:color="auto"/>
      </w:divBdr>
      <w:divsChild>
        <w:div w:id="1013190735">
          <w:marLeft w:val="0"/>
          <w:marRight w:val="0"/>
          <w:marTop w:val="0"/>
          <w:marBottom w:val="0"/>
          <w:divBdr>
            <w:top w:val="none" w:sz="0" w:space="0" w:color="auto"/>
            <w:left w:val="none" w:sz="0" w:space="0" w:color="auto"/>
            <w:bottom w:val="none" w:sz="0" w:space="0" w:color="auto"/>
            <w:right w:val="none" w:sz="0" w:space="0" w:color="auto"/>
          </w:divBdr>
          <w:divsChild>
            <w:div w:id="1691174795">
              <w:marLeft w:val="0"/>
              <w:marRight w:val="0"/>
              <w:marTop w:val="0"/>
              <w:marBottom w:val="0"/>
              <w:divBdr>
                <w:top w:val="none" w:sz="0" w:space="0" w:color="auto"/>
                <w:left w:val="none" w:sz="0" w:space="0" w:color="auto"/>
                <w:bottom w:val="none" w:sz="0" w:space="0" w:color="auto"/>
                <w:right w:val="none" w:sz="0" w:space="0" w:color="auto"/>
              </w:divBdr>
              <w:divsChild>
                <w:div w:id="55523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340040">
          <w:marLeft w:val="0"/>
          <w:marRight w:val="0"/>
          <w:marTop w:val="0"/>
          <w:marBottom w:val="0"/>
          <w:divBdr>
            <w:top w:val="none" w:sz="0" w:space="0" w:color="auto"/>
            <w:left w:val="none" w:sz="0" w:space="0" w:color="auto"/>
            <w:bottom w:val="none" w:sz="0" w:space="0" w:color="auto"/>
            <w:right w:val="none" w:sz="0" w:space="0" w:color="auto"/>
          </w:divBdr>
          <w:divsChild>
            <w:div w:id="975641219">
              <w:marLeft w:val="0"/>
              <w:marRight w:val="0"/>
              <w:marTop w:val="0"/>
              <w:marBottom w:val="0"/>
              <w:divBdr>
                <w:top w:val="none" w:sz="0" w:space="0" w:color="auto"/>
                <w:left w:val="none" w:sz="0" w:space="0" w:color="auto"/>
                <w:bottom w:val="none" w:sz="0" w:space="0" w:color="auto"/>
                <w:right w:val="none" w:sz="0" w:space="0" w:color="auto"/>
              </w:divBdr>
              <w:divsChild>
                <w:div w:id="8917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69453">
          <w:marLeft w:val="0"/>
          <w:marRight w:val="0"/>
          <w:marTop w:val="0"/>
          <w:marBottom w:val="0"/>
          <w:divBdr>
            <w:top w:val="none" w:sz="0" w:space="0" w:color="auto"/>
            <w:left w:val="none" w:sz="0" w:space="0" w:color="auto"/>
            <w:bottom w:val="none" w:sz="0" w:space="0" w:color="auto"/>
            <w:right w:val="none" w:sz="0" w:space="0" w:color="auto"/>
          </w:divBdr>
        </w:div>
        <w:div w:id="1216702556">
          <w:marLeft w:val="0"/>
          <w:marRight w:val="0"/>
          <w:marTop w:val="0"/>
          <w:marBottom w:val="0"/>
          <w:divBdr>
            <w:top w:val="none" w:sz="0" w:space="0" w:color="auto"/>
            <w:left w:val="none" w:sz="0" w:space="0" w:color="auto"/>
            <w:bottom w:val="none" w:sz="0" w:space="0" w:color="auto"/>
            <w:right w:val="none" w:sz="0" w:space="0" w:color="auto"/>
          </w:divBdr>
        </w:div>
        <w:div w:id="736979212">
          <w:marLeft w:val="0"/>
          <w:marRight w:val="0"/>
          <w:marTop w:val="0"/>
          <w:marBottom w:val="0"/>
          <w:divBdr>
            <w:top w:val="none" w:sz="0" w:space="0" w:color="auto"/>
            <w:left w:val="none" w:sz="0" w:space="0" w:color="auto"/>
            <w:bottom w:val="none" w:sz="0" w:space="0" w:color="auto"/>
            <w:right w:val="none" w:sz="0" w:space="0" w:color="auto"/>
          </w:divBdr>
          <w:divsChild>
            <w:div w:id="1070618835">
              <w:marLeft w:val="0"/>
              <w:marRight w:val="0"/>
              <w:marTop w:val="0"/>
              <w:marBottom w:val="0"/>
              <w:divBdr>
                <w:top w:val="none" w:sz="0" w:space="0" w:color="auto"/>
                <w:left w:val="none" w:sz="0" w:space="0" w:color="auto"/>
                <w:bottom w:val="none" w:sz="0" w:space="0" w:color="auto"/>
                <w:right w:val="none" w:sz="0" w:space="0" w:color="auto"/>
              </w:divBdr>
              <w:divsChild>
                <w:div w:id="113753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16665">
          <w:marLeft w:val="0"/>
          <w:marRight w:val="0"/>
          <w:marTop w:val="0"/>
          <w:marBottom w:val="0"/>
          <w:divBdr>
            <w:top w:val="none" w:sz="0" w:space="0" w:color="auto"/>
            <w:left w:val="none" w:sz="0" w:space="0" w:color="auto"/>
            <w:bottom w:val="none" w:sz="0" w:space="0" w:color="auto"/>
            <w:right w:val="none" w:sz="0" w:space="0" w:color="auto"/>
          </w:divBdr>
          <w:divsChild>
            <w:div w:id="295915918">
              <w:marLeft w:val="0"/>
              <w:marRight w:val="0"/>
              <w:marTop w:val="0"/>
              <w:marBottom w:val="0"/>
              <w:divBdr>
                <w:top w:val="none" w:sz="0" w:space="0" w:color="auto"/>
                <w:left w:val="none" w:sz="0" w:space="0" w:color="auto"/>
                <w:bottom w:val="none" w:sz="0" w:space="0" w:color="auto"/>
                <w:right w:val="none" w:sz="0" w:space="0" w:color="auto"/>
              </w:divBdr>
              <w:divsChild>
                <w:div w:id="32397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729">
          <w:marLeft w:val="0"/>
          <w:marRight w:val="0"/>
          <w:marTop w:val="0"/>
          <w:marBottom w:val="0"/>
          <w:divBdr>
            <w:top w:val="none" w:sz="0" w:space="0" w:color="auto"/>
            <w:left w:val="none" w:sz="0" w:space="0" w:color="auto"/>
            <w:bottom w:val="none" w:sz="0" w:space="0" w:color="auto"/>
            <w:right w:val="none" w:sz="0" w:space="0" w:color="auto"/>
          </w:divBdr>
          <w:divsChild>
            <w:div w:id="155920937">
              <w:marLeft w:val="0"/>
              <w:marRight w:val="0"/>
              <w:marTop w:val="0"/>
              <w:marBottom w:val="0"/>
              <w:divBdr>
                <w:top w:val="none" w:sz="0" w:space="0" w:color="auto"/>
                <w:left w:val="none" w:sz="0" w:space="0" w:color="auto"/>
                <w:bottom w:val="none" w:sz="0" w:space="0" w:color="auto"/>
                <w:right w:val="none" w:sz="0" w:space="0" w:color="auto"/>
              </w:divBdr>
              <w:divsChild>
                <w:div w:id="181549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14062">
          <w:marLeft w:val="0"/>
          <w:marRight w:val="0"/>
          <w:marTop w:val="0"/>
          <w:marBottom w:val="0"/>
          <w:divBdr>
            <w:top w:val="none" w:sz="0" w:space="0" w:color="auto"/>
            <w:left w:val="none" w:sz="0" w:space="0" w:color="auto"/>
            <w:bottom w:val="none" w:sz="0" w:space="0" w:color="auto"/>
            <w:right w:val="none" w:sz="0" w:space="0" w:color="auto"/>
          </w:divBdr>
        </w:div>
        <w:div w:id="152264418">
          <w:marLeft w:val="0"/>
          <w:marRight w:val="0"/>
          <w:marTop w:val="0"/>
          <w:marBottom w:val="0"/>
          <w:divBdr>
            <w:top w:val="none" w:sz="0" w:space="0" w:color="auto"/>
            <w:left w:val="none" w:sz="0" w:space="0" w:color="auto"/>
            <w:bottom w:val="none" w:sz="0" w:space="0" w:color="auto"/>
            <w:right w:val="none" w:sz="0" w:space="0" w:color="auto"/>
          </w:divBdr>
        </w:div>
        <w:div w:id="620839706">
          <w:marLeft w:val="0"/>
          <w:marRight w:val="0"/>
          <w:marTop w:val="0"/>
          <w:marBottom w:val="0"/>
          <w:divBdr>
            <w:top w:val="none" w:sz="0" w:space="0" w:color="auto"/>
            <w:left w:val="none" w:sz="0" w:space="0" w:color="auto"/>
            <w:bottom w:val="none" w:sz="0" w:space="0" w:color="auto"/>
            <w:right w:val="none" w:sz="0" w:space="0" w:color="auto"/>
          </w:divBdr>
        </w:div>
        <w:div w:id="1754936820">
          <w:marLeft w:val="0"/>
          <w:marRight w:val="0"/>
          <w:marTop w:val="0"/>
          <w:marBottom w:val="0"/>
          <w:divBdr>
            <w:top w:val="none" w:sz="0" w:space="0" w:color="auto"/>
            <w:left w:val="none" w:sz="0" w:space="0" w:color="auto"/>
            <w:bottom w:val="none" w:sz="0" w:space="0" w:color="auto"/>
            <w:right w:val="none" w:sz="0" w:space="0" w:color="auto"/>
          </w:divBdr>
        </w:div>
        <w:div w:id="1515806635">
          <w:marLeft w:val="0"/>
          <w:marRight w:val="0"/>
          <w:marTop w:val="0"/>
          <w:marBottom w:val="0"/>
          <w:divBdr>
            <w:top w:val="none" w:sz="0" w:space="0" w:color="auto"/>
            <w:left w:val="none" w:sz="0" w:space="0" w:color="auto"/>
            <w:bottom w:val="none" w:sz="0" w:space="0" w:color="auto"/>
            <w:right w:val="none" w:sz="0" w:space="0" w:color="auto"/>
          </w:divBdr>
        </w:div>
        <w:div w:id="914054739">
          <w:marLeft w:val="0"/>
          <w:marRight w:val="0"/>
          <w:marTop w:val="0"/>
          <w:marBottom w:val="0"/>
          <w:divBdr>
            <w:top w:val="none" w:sz="0" w:space="0" w:color="auto"/>
            <w:left w:val="none" w:sz="0" w:space="0" w:color="auto"/>
            <w:bottom w:val="none" w:sz="0" w:space="0" w:color="auto"/>
            <w:right w:val="none" w:sz="0" w:space="0" w:color="auto"/>
          </w:divBdr>
        </w:div>
        <w:div w:id="836119463">
          <w:marLeft w:val="0"/>
          <w:marRight w:val="0"/>
          <w:marTop w:val="0"/>
          <w:marBottom w:val="0"/>
          <w:divBdr>
            <w:top w:val="none" w:sz="0" w:space="0" w:color="auto"/>
            <w:left w:val="none" w:sz="0" w:space="0" w:color="auto"/>
            <w:bottom w:val="none" w:sz="0" w:space="0" w:color="auto"/>
            <w:right w:val="none" w:sz="0" w:space="0" w:color="auto"/>
          </w:divBdr>
        </w:div>
        <w:div w:id="1010723220">
          <w:marLeft w:val="0"/>
          <w:marRight w:val="0"/>
          <w:marTop w:val="0"/>
          <w:marBottom w:val="0"/>
          <w:divBdr>
            <w:top w:val="none" w:sz="0" w:space="0" w:color="auto"/>
            <w:left w:val="none" w:sz="0" w:space="0" w:color="auto"/>
            <w:bottom w:val="none" w:sz="0" w:space="0" w:color="auto"/>
            <w:right w:val="none" w:sz="0" w:space="0" w:color="auto"/>
          </w:divBdr>
        </w:div>
        <w:div w:id="1815903904">
          <w:marLeft w:val="0"/>
          <w:marRight w:val="0"/>
          <w:marTop w:val="0"/>
          <w:marBottom w:val="0"/>
          <w:divBdr>
            <w:top w:val="none" w:sz="0" w:space="0" w:color="auto"/>
            <w:left w:val="none" w:sz="0" w:space="0" w:color="auto"/>
            <w:bottom w:val="none" w:sz="0" w:space="0" w:color="auto"/>
            <w:right w:val="none" w:sz="0" w:space="0" w:color="auto"/>
          </w:divBdr>
        </w:div>
        <w:div w:id="1778285941">
          <w:marLeft w:val="0"/>
          <w:marRight w:val="0"/>
          <w:marTop w:val="0"/>
          <w:marBottom w:val="0"/>
          <w:divBdr>
            <w:top w:val="none" w:sz="0" w:space="0" w:color="auto"/>
            <w:left w:val="none" w:sz="0" w:space="0" w:color="auto"/>
            <w:bottom w:val="none" w:sz="0" w:space="0" w:color="auto"/>
            <w:right w:val="none" w:sz="0" w:space="0" w:color="auto"/>
          </w:divBdr>
        </w:div>
        <w:div w:id="1443037398">
          <w:marLeft w:val="0"/>
          <w:marRight w:val="0"/>
          <w:marTop w:val="0"/>
          <w:marBottom w:val="0"/>
          <w:divBdr>
            <w:top w:val="none" w:sz="0" w:space="0" w:color="auto"/>
            <w:left w:val="none" w:sz="0" w:space="0" w:color="auto"/>
            <w:bottom w:val="none" w:sz="0" w:space="0" w:color="auto"/>
            <w:right w:val="none" w:sz="0" w:space="0" w:color="auto"/>
          </w:divBdr>
          <w:divsChild>
            <w:div w:id="271985723">
              <w:marLeft w:val="0"/>
              <w:marRight w:val="0"/>
              <w:marTop w:val="0"/>
              <w:marBottom w:val="0"/>
              <w:divBdr>
                <w:top w:val="none" w:sz="0" w:space="0" w:color="auto"/>
                <w:left w:val="none" w:sz="0" w:space="0" w:color="auto"/>
                <w:bottom w:val="none" w:sz="0" w:space="0" w:color="auto"/>
                <w:right w:val="none" w:sz="0" w:space="0" w:color="auto"/>
              </w:divBdr>
              <w:divsChild>
                <w:div w:id="2957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339215">
      <w:bodyDiv w:val="1"/>
      <w:marLeft w:val="0"/>
      <w:marRight w:val="0"/>
      <w:marTop w:val="0"/>
      <w:marBottom w:val="0"/>
      <w:divBdr>
        <w:top w:val="none" w:sz="0" w:space="0" w:color="auto"/>
        <w:left w:val="none" w:sz="0" w:space="0" w:color="auto"/>
        <w:bottom w:val="none" w:sz="0" w:space="0" w:color="auto"/>
        <w:right w:val="none" w:sz="0" w:space="0" w:color="auto"/>
      </w:divBdr>
    </w:div>
    <w:div w:id="428627614">
      <w:bodyDiv w:val="1"/>
      <w:marLeft w:val="0"/>
      <w:marRight w:val="0"/>
      <w:marTop w:val="0"/>
      <w:marBottom w:val="0"/>
      <w:divBdr>
        <w:top w:val="none" w:sz="0" w:space="0" w:color="auto"/>
        <w:left w:val="none" w:sz="0" w:space="0" w:color="auto"/>
        <w:bottom w:val="none" w:sz="0" w:space="0" w:color="auto"/>
        <w:right w:val="none" w:sz="0" w:space="0" w:color="auto"/>
      </w:divBdr>
    </w:div>
    <w:div w:id="430011698">
      <w:bodyDiv w:val="1"/>
      <w:marLeft w:val="0"/>
      <w:marRight w:val="0"/>
      <w:marTop w:val="0"/>
      <w:marBottom w:val="0"/>
      <w:divBdr>
        <w:top w:val="none" w:sz="0" w:space="0" w:color="auto"/>
        <w:left w:val="none" w:sz="0" w:space="0" w:color="auto"/>
        <w:bottom w:val="none" w:sz="0" w:space="0" w:color="auto"/>
        <w:right w:val="none" w:sz="0" w:space="0" w:color="auto"/>
      </w:divBdr>
    </w:div>
    <w:div w:id="465851912">
      <w:bodyDiv w:val="1"/>
      <w:marLeft w:val="0"/>
      <w:marRight w:val="0"/>
      <w:marTop w:val="0"/>
      <w:marBottom w:val="0"/>
      <w:divBdr>
        <w:top w:val="none" w:sz="0" w:space="0" w:color="auto"/>
        <w:left w:val="none" w:sz="0" w:space="0" w:color="auto"/>
        <w:bottom w:val="none" w:sz="0" w:space="0" w:color="auto"/>
        <w:right w:val="none" w:sz="0" w:space="0" w:color="auto"/>
      </w:divBdr>
    </w:div>
    <w:div w:id="470948741">
      <w:bodyDiv w:val="1"/>
      <w:marLeft w:val="0"/>
      <w:marRight w:val="0"/>
      <w:marTop w:val="0"/>
      <w:marBottom w:val="0"/>
      <w:divBdr>
        <w:top w:val="none" w:sz="0" w:space="0" w:color="auto"/>
        <w:left w:val="none" w:sz="0" w:space="0" w:color="auto"/>
        <w:bottom w:val="none" w:sz="0" w:space="0" w:color="auto"/>
        <w:right w:val="none" w:sz="0" w:space="0" w:color="auto"/>
      </w:divBdr>
    </w:div>
    <w:div w:id="488063190">
      <w:bodyDiv w:val="1"/>
      <w:marLeft w:val="0"/>
      <w:marRight w:val="0"/>
      <w:marTop w:val="0"/>
      <w:marBottom w:val="0"/>
      <w:divBdr>
        <w:top w:val="none" w:sz="0" w:space="0" w:color="auto"/>
        <w:left w:val="none" w:sz="0" w:space="0" w:color="auto"/>
        <w:bottom w:val="none" w:sz="0" w:space="0" w:color="auto"/>
        <w:right w:val="none" w:sz="0" w:space="0" w:color="auto"/>
      </w:divBdr>
    </w:div>
    <w:div w:id="493842592">
      <w:bodyDiv w:val="1"/>
      <w:marLeft w:val="0"/>
      <w:marRight w:val="0"/>
      <w:marTop w:val="0"/>
      <w:marBottom w:val="0"/>
      <w:divBdr>
        <w:top w:val="none" w:sz="0" w:space="0" w:color="auto"/>
        <w:left w:val="none" w:sz="0" w:space="0" w:color="auto"/>
        <w:bottom w:val="none" w:sz="0" w:space="0" w:color="auto"/>
        <w:right w:val="none" w:sz="0" w:space="0" w:color="auto"/>
      </w:divBdr>
    </w:div>
    <w:div w:id="526874226">
      <w:bodyDiv w:val="1"/>
      <w:marLeft w:val="0"/>
      <w:marRight w:val="0"/>
      <w:marTop w:val="0"/>
      <w:marBottom w:val="0"/>
      <w:divBdr>
        <w:top w:val="none" w:sz="0" w:space="0" w:color="auto"/>
        <w:left w:val="none" w:sz="0" w:space="0" w:color="auto"/>
        <w:bottom w:val="none" w:sz="0" w:space="0" w:color="auto"/>
        <w:right w:val="none" w:sz="0" w:space="0" w:color="auto"/>
      </w:divBdr>
    </w:div>
    <w:div w:id="548952501">
      <w:bodyDiv w:val="1"/>
      <w:marLeft w:val="0"/>
      <w:marRight w:val="0"/>
      <w:marTop w:val="0"/>
      <w:marBottom w:val="0"/>
      <w:divBdr>
        <w:top w:val="none" w:sz="0" w:space="0" w:color="auto"/>
        <w:left w:val="none" w:sz="0" w:space="0" w:color="auto"/>
        <w:bottom w:val="none" w:sz="0" w:space="0" w:color="auto"/>
        <w:right w:val="none" w:sz="0" w:space="0" w:color="auto"/>
      </w:divBdr>
    </w:div>
    <w:div w:id="562763872">
      <w:bodyDiv w:val="1"/>
      <w:marLeft w:val="0"/>
      <w:marRight w:val="0"/>
      <w:marTop w:val="0"/>
      <w:marBottom w:val="0"/>
      <w:divBdr>
        <w:top w:val="none" w:sz="0" w:space="0" w:color="auto"/>
        <w:left w:val="none" w:sz="0" w:space="0" w:color="auto"/>
        <w:bottom w:val="none" w:sz="0" w:space="0" w:color="auto"/>
        <w:right w:val="none" w:sz="0" w:space="0" w:color="auto"/>
      </w:divBdr>
    </w:div>
    <w:div w:id="595481580">
      <w:bodyDiv w:val="1"/>
      <w:marLeft w:val="0"/>
      <w:marRight w:val="0"/>
      <w:marTop w:val="0"/>
      <w:marBottom w:val="0"/>
      <w:divBdr>
        <w:top w:val="none" w:sz="0" w:space="0" w:color="auto"/>
        <w:left w:val="none" w:sz="0" w:space="0" w:color="auto"/>
        <w:bottom w:val="none" w:sz="0" w:space="0" w:color="auto"/>
        <w:right w:val="none" w:sz="0" w:space="0" w:color="auto"/>
      </w:divBdr>
    </w:div>
    <w:div w:id="632516870">
      <w:bodyDiv w:val="1"/>
      <w:marLeft w:val="0"/>
      <w:marRight w:val="0"/>
      <w:marTop w:val="0"/>
      <w:marBottom w:val="0"/>
      <w:divBdr>
        <w:top w:val="none" w:sz="0" w:space="0" w:color="auto"/>
        <w:left w:val="none" w:sz="0" w:space="0" w:color="auto"/>
        <w:bottom w:val="none" w:sz="0" w:space="0" w:color="auto"/>
        <w:right w:val="none" w:sz="0" w:space="0" w:color="auto"/>
      </w:divBdr>
      <w:divsChild>
        <w:div w:id="1202136379">
          <w:marLeft w:val="0"/>
          <w:marRight w:val="0"/>
          <w:marTop w:val="0"/>
          <w:marBottom w:val="0"/>
          <w:divBdr>
            <w:top w:val="none" w:sz="0" w:space="0" w:color="auto"/>
            <w:left w:val="none" w:sz="0" w:space="0" w:color="auto"/>
            <w:bottom w:val="none" w:sz="0" w:space="0" w:color="auto"/>
            <w:right w:val="none" w:sz="0" w:space="0" w:color="auto"/>
          </w:divBdr>
        </w:div>
        <w:div w:id="1284262818">
          <w:marLeft w:val="0"/>
          <w:marRight w:val="0"/>
          <w:marTop w:val="0"/>
          <w:marBottom w:val="0"/>
          <w:divBdr>
            <w:top w:val="none" w:sz="0" w:space="0" w:color="auto"/>
            <w:left w:val="none" w:sz="0" w:space="0" w:color="auto"/>
            <w:bottom w:val="none" w:sz="0" w:space="0" w:color="auto"/>
            <w:right w:val="none" w:sz="0" w:space="0" w:color="auto"/>
          </w:divBdr>
        </w:div>
      </w:divsChild>
    </w:div>
    <w:div w:id="661009789">
      <w:bodyDiv w:val="1"/>
      <w:marLeft w:val="0"/>
      <w:marRight w:val="0"/>
      <w:marTop w:val="0"/>
      <w:marBottom w:val="0"/>
      <w:divBdr>
        <w:top w:val="none" w:sz="0" w:space="0" w:color="auto"/>
        <w:left w:val="none" w:sz="0" w:space="0" w:color="auto"/>
        <w:bottom w:val="none" w:sz="0" w:space="0" w:color="auto"/>
        <w:right w:val="none" w:sz="0" w:space="0" w:color="auto"/>
      </w:divBdr>
      <w:divsChild>
        <w:div w:id="283772917">
          <w:marLeft w:val="0"/>
          <w:marRight w:val="0"/>
          <w:marTop w:val="0"/>
          <w:marBottom w:val="0"/>
          <w:divBdr>
            <w:top w:val="none" w:sz="0" w:space="0" w:color="auto"/>
            <w:left w:val="none" w:sz="0" w:space="0" w:color="auto"/>
            <w:bottom w:val="none" w:sz="0" w:space="0" w:color="auto"/>
            <w:right w:val="none" w:sz="0" w:space="0" w:color="auto"/>
          </w:divBdr>
        </w:div>
        <w:div w:id="1560046134">
          <w:marLeft w:val="0"/>
          <w:marRight w:val="0"/>
          <w:marTop w:val="0"/>
          <w:marBottom w:val="0"/>
          <w:divBdr>
            <w:top w:val="none" w:sz="0" w:space="0" w:color="auto"/>
            <w:left w:val="none" w:sz="0" w:space="0" w:color="auto"/>
            <w:bottom w:val="none" w:sz="0" w:space="0" w:color="auto"/>
            <w:right w:val="none" w:sz="0" w:space="0" w:color="auto"/>
          </w:divBdr>
        </w:div>
        <w:div w:id="889070142">
          <w:marLeft w:val="0"/>
          <w:marRight w:val="0"/>
          <w:marTop w:val="0"/>
          <w:marBottom w:val="0"/>
          <w:divBdr>
            <w:top w:val="none" w:sz="0" w:space="0" w:color="auto"/>
            <w:left w:val="none" w:sz="0" w:space="0" w:color="auto"/>
            <w:bottom w:val="none" w:sz="0" w:space="0" w:color="auto"/>
            <w:right w:val="none" w:sz="0" w:space="0" w:color="auto"/>
          </w:divBdr>
        </w:div>
        <w:div w:id="1069228083">
          <w:marLeft w:val="0"/>
          <w:marRight w:val="0"/>
          <w:marTop w:val="0"/>
          <w:marBottom w:val="0"/>
          <w:divBdr>
            <w:top w:val="none" w:sz="0" w:space="0" w:color="auto"/>
            <w:left w:val="none" w:sz="0" w:space="0" w:color="auto"/>
            <w:bottom w:val="none" w:sz="0" w:space="0" w:color="auto"/>
            <w:right w:val="none" w:sz="0" w:space="0" w:color="auto"/>
          </w:divBdr>
        </w:div>
        <w:div w:id="1316227243">
          <w:marLeft w:val="0"/>
          <w:marRight w:val="0"/>
          <w:marTop w:val="0"/>
          <w:marBottom w:val="0"/>
          <w:divBdr>
            <w:top w:val="none" w:sz="0" w:space="0" w:color="auto"/>
            <w:left w:val="none" w:sz="0" w:space="0" w:color="auto"/>
            <w:bottom w:val="none" w:sz="0" w:space="0" w:color="auto"/>
            <w:right w:val="none" w:sz="0" w:space="0" w:color="auto"/>
          </w:divBdr>
        </w:div>
        <w:div w:id="571039275">
          <w:marLeft w:val="0"/>
          <w:marRight w:val="0"/>
          <w:marTop w:val="0"/>
          <w:marBottom w:val="0"/>
          <w:divBdr>
            <w:top w:val="none" w:sz="0" w:space="0" w:color="auto"/>
            <w:left w:val="none" w:sz="0" w:space="0" w:color="auto"/>
            <w:bottom w:val="none" w:sz="0" w:space="0" w:color="auto"/>
            <w:right w:val="none" w:sz="0" w:space="0" w:color="auto"/>
          </w:divBdr>
        </w:div>
        <w:div w:id="795101187">
          <w:marLeft w:val="0"/>
          <w:marRight w:val="0"/>
          <w:marTop w:val="0"/>
          <w:marBottom w:val="0"/>
          <w:divBdr>
            <w:top w:val="none" w:sz="0" w:space="0" w:color="auto"/>
            <w:left w:val="none" w:sz="0" w:space="0" w:color="auto"/>
            <w:bottom w:val="none" w:sz="0" w:space="0" w:color="auto"/>
            <w:right w:val="none" w:sz="0" w:space="0" w:color="auto"/>
          </w:divBdr>
        </w:div>
      </w:divsChild>
    </w:div>
    <w:div w:id="806313003">
      <w:bodyDiv w:val="1"/>
      <w:marLeft w:val="0"/>
      <w:marRight w:val="0"/>
      <w:marTop w:val="0"/>
      <w:marBottom w:val="0"/>
      <w:divBdr>
        <w:top w:val="none" w:sz="0" w:space="0" w:color="auto"/>
        <w:left w:val="none" w:sz="0" w:space="0" w:color="auto"/>
        <w:bottom w:val="none" w:sz="0" w:space="0" w:color="auto"/>
        <w:right w:val="none" w:sz="0" w:space="0" w:color="auto"/>
      </w:divBdr>
    </w:div>
    <w:div w:id="865485730">
      <w:bodyDiv w:val="1"/>
      <w:marLeft w:val="0"/>
      <w:marRight w:val="0"/>
      <w:marTop w:val="0"/>
      <w:marBottom w:val="0"/>
      <w:divBdr>
        <w:top w:val="none" w:sz="0" w:space="0" w:color="auto"/>
        <w:left w:val="none" w:sz="0" w:space="0" w:color="auto"/>
        <w:bottom w:val="none" w:sz="0" w:space="0" w:color="auto"/>
        <w:right w:val="none" w:sz="0" w:space="0" w:color="auto"/>
      </w:divBdr>
    </w:div>
    <w:div w:id="943609823">
      <w:bodyDiv w:val="1"/>
      <w:marLeft w:val="0"/>
      <w:marRight w:val="0"/>
      <w:marTop w:val="0"/>
      <w:marBottom w:val="0"/>
      <w:divBdr>
        <w:top w:val="none" w:sz="0" w:space="0" w:color="auto"/>
        <w:left w:val="none" w:sz="0" w:space="0" w:color="auto"/>
        <w:bottom w:val="none" w:sz="0" w:space="0" w:color="auto"/>
        <w:right w:val="none" w:sz="0" w:space="0" w:color="auto"/>
      </w:divBdr>
    </w:div>
    <w:div w:id="987906240">
      <w:bodyDiv w:val="1"/>
      <w:marLeft w:val="0"/>
      <w:marRight w:val="0"/>
      <w:marTop w:val="0"/>
      <w:marBottom w:val="0"/>
      <w:divBdr>
        <w:top w:val="none" w:sz="0" w:space="0" w:color="auto"/>
        <w:left w:val="none" w:sz="0" w:space="0" w:color="auto"/>
        <w:bottom w:val="none" w:sz="0" w:space="0" w:color="auto"/>
        <w:right w:val="none" w:sz="0" w:space="0" w:color="auto"/>
      </w:divBdr>
    </w:div>
    <w:div w:id="1047023601">
      <w:bodyDiv w:val="1"/>
      <w:marLeft w:val="0"/>
      <w:marRight w:val="0"/>
      <w:marTop w:val="0"/>
      <w:marBottom w:val="0"/>
      <w:divBdr>
        <w:top w:val="none" w:sz="0" w:space="0" w:color="auto"/>
        <w:left w:val="none" w:sz="0" w:space="0" w:color="auto"/>
        <w:bottom w:val="none" w:sz="0" w:space="0" w:color="auto"/>
        <w:right w:val="none" w:sz="0" w:space="0" w:color="auto"/>
      </w:divBdr>
    </w:div>
    <w:div w:id="1082413983">
      <w:bodyDiv w:val="1"/>
      <w:marLeft w:val="0"/>
      <w:marRight w:val="0"/>
      <w:marTop w:val="0"/>
      <w:marBottom w:val="0"/>
      <w:divBdr>
        <w:top w:val="none" w:sz="0" w:space="0" w:color="auto"/>
        <w:left w:val="none" w:sz="0" w:space="0" w:color="auto"/>
        <w:bottom w:val="none" w:sz="0" w:space="0" w:color="auto"/>
        <w:right w:val="none" w:sz="0" w:space="0" w:color="auto"/>
      </w:divBdr>
    </w:div>
    <w:div w:id="1094398217">
      <w:bodyDiv w:val="1"/>
      <w:marLeft w:val="0"/>
      <w:marRight w:val="0"/>
      <w:marTop w:val="0"/>
      <w:marBottom w:val="0"/>
      <w:divBdr>
        <w:top w:val="none" w:sz="0" w:space="0" w:color="auto"/>
        <w:left w:val="none" w:sz="0" w:space="0" w:color="auto"/>
        <w:bottom w:val="none" w:sz="0" w:space="0" w:color="auto"/>
        <w:right w:val="none" w:sz="0" w:space="0" w:color="auto"/>
      </w:divBdr>
    </w:div>
    <w:div w:id="1129055492">
      <w:bodyDiv w:val="1"/>
      <w:marLeft w:val="0"/>
      <w:marRight w:val="0"/>
      <w:marTop w:val="0"/>
      <w:marBottom w:val="0"/>
      <w:divBdr>
        <w:top w:val="none" w:sz="0" w:space="0" w:color="auto"/>
        <w:left w:val="none" w:sz="0" w:space="0" w:color="auto"/>
        <w:bottom w:val="none" w:sz="0" w:space="0" w:color="auto"/>
        <w:right w:val="none" w:sz="0" w:space="0" w:color="auto"/>
      </w:divBdr>
    </w:div>
    <w:div w:id="1165776680">
      <w:bodyDiv w:val="1"/>
      <w:marLeft w:val="0"/>
      <w:marRight w:val="0"/>
      <w:marTop w:val="0"/>
      <w:marBottom w:val="0"/>
      <w:divBdr>
        <w:top w:val="none" w:sz="0" w:space="0" w:color="auto"/>
        <w:left w:val="none" w:sz="0" w:space="0" w:color="auto"/>
        <w:bottom w:val="none" w:sz="0" w:space="0" w:color="auto"/>
        <w:right w:val="none" w:sz="0" w:space="0" w:color="auto"/>
      </w:divBdr>
    </w:div>
    <w:div w:id="1204636731">
      <w:bodyDiv w:val="1"/>
      <w:marLeft w:val="0"/>
      <w:marRight w:val="0"/>
      <w:marTop w:val="0"/>
      <w:marBottom w:val="0"/>
      <w:divBdr>
        <w:top w:val="none" w:sz="0" w:space="0" w:color="auto"/>
        <w:left w:val="none" w:sz="0" w:space="0" w:color="auto"/>
        <w:bottom w:val="none" w:sz="0" w:space="0" w:color="auto"/>
        <w:right w:val="none" w:sz="0" w:space="0" w:color="auto"/>
      </w:divBdr>
    </w:div>
    <w:div w:id="1238903939">
      <w:bodyDiv w:val="1"/>
      <w:marLeft w:val="0"/>
      <w:marRight w:val="0"/>
      <w:marTop w:val="0"/>
      <w:marBottom w:val="0"/>
      <w:divBdr>
        <w:top w:val="none" w:sz="0" w:space="0" w:color="auto"/>
        <w:left w:val="none" w:sz="0" w:space="0" w:color="auto"/>
        <w:bottom w:val="none" w:sz="0" w:space="0" w:color="auto"/>
        <w:right w:val="none" w:sz="0" w:space="0" w:color="auto"/>
      </w:divBdr>
    </w:div>
    <w:div w:id="1252009942">
      <w:bodyDiv w:val="1"/>
      <w:marLeft w:val="0"/>
      <w:marRight w:val="0"/>
      <w:marTop w:val="0"/>
      <w:marBottom w:val="0"/>
      <w:divBdr>
        <w:top w:val="none" w:sz="0" w:space="0" w:color="auto"/>
        <w:left w:val="none" w:sz="0" w:space="0" w:color="auto"/>
        <w:bottom w:val="none" w:sz="0" w:space="0" w:color="auto"/>
        <w:right w:val="none" w:sz="0" w:space="0" w:color="auto"/>
      </w:divBdr>
    </w:div>
    <w:div w:id="1313296791">
      <w:bodyDiv w:val="1"/>
      <w:marLeft w:val="0"/>
      <w:marRight w:val="0"/>
      <w:marTop w:val="0"/>
      <w:marBottom w:val="0"/>
      <w:divBdr>
        <w:top w:val="none" w:sz="0" w:space="0" w:color="auto"/>
        <w:left w:val="none" w:sz="0" w:space="0" w:color="auto"/>
        <w:bottom w:val="none" w:sz="0" w:space="0" w:color="auto"/>
        <w:right w:val="none" w:sz="0" w:space="0" w:color="auto"/>
      </w:divBdr>
    </w:div>
    <w:div w:id="1336037181">
      <w:bodyDiv w:val="1"/>
      <w:marLeft w:val="0"/>
      <w:marRight w:val="0"/>
      <w:marTop w:val="0"/>
      <w:marBottom w:val="0"/>
      <w:divBdr>
        <w:top w:val="none" w:sz="0" w:space="0" w:color="auto"/>
        <w:left w:val="none" w:sz="0" w:space="0" w:color="auto"/>
        <w:bottom w:val="none" w:sz="0" w:space="0" w:color="auto"/>
        <w:right w:val="none" w:sz="0" w:space="0" w:color="auto"/>
      </w:divBdr>
    </w:div>
    <w:div w:id="1431661099">
      <w:bodyDiv w:val="1"/>
      <w:marLeft w:val="0"/>
      <w:marRight w:val="0"/>
      <w:marTop w:val="0"/>
      <w:marBottom w:val="0"/>
      <w:divBdr>
        <w:top w:val="none" w:sz="0" w:space="0" w:color="auto"/>
        <w:left w:val="none" w:sz="0" w:space="0" w:color="auto"/>
        <w:bottom w:val="none" w:sz="0" w:space="0" w:color="auto"/>
        <w:right w:val="none" w:sz="0" w:space="0" w:color="auto"/>
      </w:divBdr>
    </w:div>
    <w:div w:id="1455901194">
      <w:bodyDiv w:val="1"/>
      <w:marLeft w:val="0"/>
      <w:marRight w:val="0"/>
      <w:marTop w:val="0"/>
      <w:marBottom w:val="0"/>
      <w:divBdr>
        <w:top w:val="none" w:sz="0" w:space="0" w:color="auto"/>
        <w:left w:val="none" w:sz="0" w:space="0" w:color="auto"/>
        <w:bottom w:val="none" w:sz="0" w:space="0" w:color="auto"/>
        <w:right w:val="none" w:sz="0" w:space="0" w:color="auto"/>
      </w:divBdr>
    </w:div>
    <w:div w:id="1480608448">
      <w:bodyDiv w:val="1"/>
      <w:marLeft w:val="0"/>
      <w:marRight w:val="0"/>
      <w:marTop w:val="0"/>
      <w:marBottom w:val="0"/>
      <w:divBdr>
        <w:top w:val="none" w:sz="0" w:space="0" w:color="auto"/>
        <w:left w:val="none" w:sz="0" w:space="0" w:color="auto"/>
        <w:bottom w:val="none" w:sz="0" w:space="0" w:color="auto"/>
        <w:right w:val="none" w:sz="0" w:space="0" w:color="auto"/>
      </w:divBdr>
    </w:div>
    <w:div w:id="1490560174">
      <w:bodyDiv w:val="1"/>
      <w:marLeft w:val="0"/>
      <w:marRight w:val="0"/>
      <w:marTop w:val="0"/>
      <w:marBottom w:val="0"/>
      <w:divBdr>
        <w:top w:val="none" w:sz="0" w:space="0" w:color="auto"/>
        <w:left w:val="none" w:sz="0" w:space="0" w:color="auto"/>
        <w:bottom w:val="none" w:sz="0" w:space="0" w:color="auto"/>
        <w:right w:val="none" w:sz="0" w:space="0" w:color="auto"/>
      </w:divBdr>
    </w:div>
    <w:div w:id="1570142961">
      <w:bodyDiv w:val="1"/>
      <w:marLeft w:val="0"/>
      <w:marRight w:val="0"/>
      <w:marTop w:val="0"/>
      <w:marBottom w:val="0"/>
      <w:divBdr>
        <w:top w:val="none" w:sz="0" w:space="0" w:color="auto"/>
        <w:left w:val="none" w:sz="0" w:space="0" w:color="auto"/>
        <w:bottom w:val="none" w:sz="0" w:space="0" w:color="auto"/>
        <w:right w:val="none" w:sz="0" w:space="0" w:color="auto"/>
      </w:divBdr>
    </w:div>
    <w:div w:id="1580597914">
      <w:bodyDiv w:val="1"/>
      <w:marLeft w:val="0"/>
      <w:marRight w:val="0"/>
      <w:marTop w:val="0"/>
      <w:marBottom w:val="0"/>
      <w:divBdr>
        <w:top w:val="none" w:sz="0" w:space="0" w:color="auto"/>
        <w:left w:val="none" w:sz="0" w:space="0" w:color="auto"/>
        <w:bottom w:val="none" w:sz="0" w:space="0" w:color="auto"/>
        <w:right w:val="none" w:sz="0" w:space="0" w:color="auto"/>
      </w:divBdr>
    </w:div>
    <w:div w:id="1760565523">
      <w:bodyDiv w:val="1"/>
      <w:marLeft w:val="0"/>
      <w:marRight w:val="0"/>
      <w:marTop w:val="0"/>
      <w:marBottom w:val="0"/>
      <w:divBdr>
        <w:top w:val="none" w:sz="0" w:space="0" w:color="auto"/>
        <w:left w:val="none" w:sz="0" w:space="0" w:color="auto"/>
        <w:bottom w:val="none" w:sz="0" w:space="0" w:color="auto"/>
        <w:right w:val="none" w:sz="0" w:space="0" w:color="auto"/>
      </w:divBdr>
    </w:div>
    <w:div w:id="1797017930">
      <w:bodyDiv w:val="1"/>
      <w:marLeft w:val="0"/>
      <w:marRight w:val="0"/>
      <w:marTop w:val="0"/>
      <w:marBottom w:val="0"/>
      <w:divBdr>
        <w:top w:val="none" w:sz="0" w:space="0" w:color="auto"/>
        <w:left w:val="none" w:sz="0" w:space="0" w:color="auto"/>
        <w:bottom w:val="none" w:sz="0" w:space="0" w:color="auto"/>
        <w:right w:val="none" w:sz="0" w:space="0" w:color="auto"/>
      </w:divBdr>
      <w:divsChild>
        <w:div w:id="1712807167">
          <w:marLeft w:val="0"/>
          <w:marRight w:val="0"/>
          <w:marTop w:val="0"/>
          <w:marBottom w:val="0"/>
          <w:divBdr>
            <w:top w:val="none" w:sz="0" w:space="0" w:color="auto"/>
            <w:left w:val="none" w:sz="0" w:space="0" w:color="auto"/>
            <w:bottom w:val="none" w:sz="0" w:space="0" w:color="auto"/>
            <w:right w:val="none" w:sz="0" w:space="0" w:color="auto"/>
          </w:divBdr>
        </w:div>
        <w:div w:id="1285690879">
          <w:marLeft w:val="0"/>
          <w:marRight w:val="0"/>
          <w:marTop w:val="0"/>
          <w:marBottom w:val="0"/>
          <w:divBdr>
            <w:top w:val="none" w:sz="0" w:space="0" w:color="auto"/>
            <w:left w:val="none" w:sz="0" w:space="0" w:color="auto"/>
            <w:bottom w:val="none" w:sz="0" w:space="0" w:color="auto"/>
            <w:right w:val="none" w:sz="0" w:space="0" w:color="auto"/>
          </w:divBdr>
        </w:div>
        <w:div w:id="1840926208">
          <w:marLeft w:val="0"/>
          <w:marRight w:val="0"/>
          <w:marTop w:val="0"/>
          <w:marBottom w:val="0"/>
          <w:divBdr>
            <w:top w:val="none" w:sz="0" w:space="0" w:color="auto"/>
            <w:left w:val="none" w:sz="0" w:space="0" w:color="auto"/>
            <w:bottom w:val="none" w:sz="0" w:space="0" w:color="auto"/>
            <w:right w:val="none" w:sz="0" w:space="0" w:color="auto"/>
          </w:divBdr>
        </w:div>
        <w:div w:id="1736007278">
          <w:marLeft w:val="0"/>
          <w:marRight w:val="0"/>
          <w:marTop w:val="0"/>
          <w:marBottom w:val="0"/>
          <w:divBdr>
            <w:top w:val="none" w:sz="0" w:space="0" w:color="auto"/>
            <w:left w:val="none" w:sz="0" w:space="0" w:color="auto"/>
            <w:bottom w:val="none" w:sz="0" w:space="0" w:color="auto"/>
            <w:right w:val="none" w:sz="0" w:space="0" w:color="auto"/>
          </w:divBdr>
        </w:div>
        <w:div w:id="898050707">
          <w:marLeft w:val="0"/>
          <w:marRight w:val="0"/>
          <w:marTop w:val="0"/>
          <w:marBottom w:val="0"/>
          <w:divBdr>
            <w:top w:val="none" w:sz="0" w:space="0" w:color="auto"/>
            <w:left w:val="none" w:sz="0" w:space="0" w:color="auto"/>
            <w:bottom w:val="none" w:sz="0" w:space="0" w:color="auto"/>
            <w:right w:val="none" w:sz="0" w:space="0" w:color="auto"/>
          </w:divBdr>
        </w:div>
        <w:div w:id="1681078381">
          <w:marLeft w:val="0"/>
          <w:marRight w:val="0"/>
          <w:marTop w:val="0"/>
          <w:marBottom w:val="0"/>
          <w:divBdr>
            <w:top w:val="none" w:sz="0" w:space="0" w:color="auto"/>
            <w:left w:val="none" w:sz="0" w:space="0" w:color="auto"/>
            <w:bottom w:val="none" w:sz="0" w:space="0" w:color="auto"/>
            <w:right w:val="none" w:sz="0" w:space="0" w:color="auto"/>
          </w:divBdr>
        </w:div>
        <w:div w:id="1311977330">
          <w:marLeft w:val="0"/>
          <w:marRight w:val="0"/>
          <w:marTop w:val="0"/>
          <w:marBottom w:val="0"/>
          <w:divBdr>
            <w:top w:val="none" w:sz="0" w:space="0" w:color="auto"/>
            <w:left w:val="none" w:sz="0" w:space="0" w:color="auto"/>
            <w:bottom w:val="none" w:sz="0" w:space="0" w:color="auto"/>
            <w:right w:val="none" w:sz="0" w:space="0" w:color="auto"/>
          </w:divBdr>
        </w:div>
        <w:div w:id="848526014">
          <w:marLeft w:val="0"/>
          <w:marRight w:val="0"/>
          <w:marTop w:val="0"/>
          <w:marBottom w:val="0"/>
          <w:divBdr>
            <w:top w:val="none" w:sz="0" w:space="0" w:color="auto"/>
            <w:left w:val="none" w:sz="0" w:space="0" w:color="auto"/>
            <w:bottom w:val="none" w:sz="0" w:space="0" w:color="auto"/>
            <w:right w:val="none" w:sz="0" w:space="0" w:color="auto"/>
          </w:divBdr>
        </w:div>
        <w:div w:id="1863085025">
          <w:marLeft w:val="0"/>
          <w:marRight w:val="0"/>
          <w:marTop w:val="0"/>
          <w:marBottom w:val="0"/>
          <w:divBdr>
            <w:top w:val="none" w:sz="0" w:space="0" w:color="auto"/>
            <w:left w:val="none" w:sz="0" w:space="0" w:color="auto"/>
            <w:bottom w:val="none" w:sz="0" w:space="0" w:color="auto"/>
            <w:right w:val="none" w:sz="0" w:space="0" w:color="auto"/>
          </w:divBdr>
        </w:div>
        <w:div w:id="852189996">
          <w:marLeft w:val="0"/>
          <w:marRight w:val="0"/>
          <w:marTop w:val="0"/>
          <w:marBottom w:val="0"/>
          <w:divBdr>
            <w:top w:val="none" w:sz="0" w:space="0" w:color="auto"/>
            <w:left w:val="none" w:sz="0" w:space="0" w:color="auto"/>
            <w:bottom w:val="none" w:sz="0" w:space="0" w:color="auto"/>
            <w:right w:val="none" w:sz="0" w:space="0" w:color="auto"/>
          </w:divBdr>
        </w:div>
        <w:div w:id="715471234">
          <w:marLeft w:val="0"/>
          <w:marRight w:val="0"/>
          <w:marTop w:val="0"/>
          <w:marBottom w:val="0"/>
          <w:divBdr>
            <w:top w:val="none" w:sz="0" w:space="0" w:color="auto"/>
            <w:left w:val="none" w:sz="0" w:space="0" w:color="auto"/>
            <w:bottom w:val="none" w:sz="0" w:space="0" w:color="auto"/>
            <w:right w:val="none" w:sz="0" w:space="0" w:color="auto"/>
          </w:divBdr>
        </w:div>
        <w:div w:id="1378580866">
          <w:marLeft w:val="0"/>
          <w:marRight w:val="0"/>
          <w:marTop w:val="0"/>
          <w:marBottom w:val="0"/>
          <w:divBdr>
            <w:top w:val="none" w:sz="0" w:space="0" w:color="auto"/>
            <w:left w:val="none" w:sz="0" w:space="0" w:color="auto"/>
            <w:bottom w:val="none" w:sz="0" w:space="0" w:color="auto"/>
            <w:right w:val="none" w:sz="0" w:space="0" w:color="auto"/>
          </w:divBdr>
        </w:div>
        <w:div w:id="520509762">
          <w:marLeft w:val="0"/>
          <w:marRight w:val="0"/>
          <w:marTop w:val="0"/>
          <w:marBottom w:val="0"/>
          <w:divBdr>
            <w:top w:val="none" w:sz="0" w:space="0" w:color="auto"/>
            <w:left w:val="none" w:sz="0" w:space="0" w:color="auto"/>
            <w:bottom w:val="none" w:sz="0" w:space="0" w:color="auto"/>
            <w:right w:val="none" w:sz="0" w:space="0" w:color="auto"/>
          </w:divBdr>
        </w:div>
        <w:div w:id="1818646787">
          <w:marLeft w:val="0"/>
          <w:marRight w:val="0"/>
          <w:marTop w:val="0"/>
          <w:marBottom w:val="0"/>
          <w:divBdr>
            <w:top w:val="none" w:sz="0" w:space="0" w:color="auto"/>
            <w:left w:val="none" w:sz="0" w:space="0" w:color="auto"/>
            <w:bottom w:val="none" w:sz="0" w:space="0" w:color="auto"/>
            <w:right w:val="none" w:sz="0" w:space="0" w:color="auto"/>
          </w:divBdr>
        </w:div>
        <w:div w:id="1787314393">
          <w:marLeft w:val="0"/>
          <w:marRight w:val="0"/>
          <w:marTop w:val="0"/>
          <w:marBottom w:val="0"/>
          <w:divBdr>
            <w:top w:val="none" w:sz="0" w:space="0" w:color="auto"/>
            <w:left w:val="none" w:sz="0" w:space="0" w:color="auto"/>
            <w:bottom w:val="none" w:sz="0" w:space="0" w:color="auto"/>
            <w:right w:val="none" w:sz="0" w:space="0" w:color="auto"/>
          </w:divBdr>
        </w:div>
      </w:divsChild>
    </w:div>
    <w:div w:id="1854030665">
      <w:bodyDiv w:val="1"/>
      <w:marLeft w:val="0"/>
      <w:marRight w:val="0"/>
      <w:marTop w:val="0"/>
      <w:marBottom w:val="0"/>
      <w:divBdr>
        <w:top w:val="none" w:sz="0" w:space="0" w:color="auto"/>
        <w:left w:val="none" w:sz="0" w:space="0" w:color="auto"/>
        <w:bottom w:val="none" w:sz="0" w:space="0" w:color="auto"/>
        <w:right w:val="none" w:sz="0" w:space="0" w:color="auto"/>
      </w:divBdr>
    </w:div>
    <w:div w:id="1872570931">
      <w:bodyDiv w:val="1"/>
      <w:marLeft w:val="0"/>
      <w:marRight w:val="0"/>
      <w:marTop w:val="0"/>
      <w:marBottom w:val="0"/>
      <w:divBdr>
        <w:top w:val="none" w:sz="0" w:space="0" w:color="auto"/>
        <w:left w:val="none" w:sz="0" w:space="0" w:color="auto"/>
        <w:bottom w:val="none" w:sz="0" w:space="0" w:color="auto"/>
        <w:right w:val="none" w:sz="0" w:space="0" w:color="auto"/>
      </w:divBdr>
    </w:div>
    <w:div w:id="1985041031">
      <w:bodyDiv w:val="1"/>
      <w:marLeft w:val="0"/>
      <w:marRight w:val="0"/>
      <w:marTop w:val="0"/>
      <w:marBottom w:val="0"/>
      <w:divBdr>
        <w:top w:val="none" w:sz="0" w:space="0" w:color="auto"/>
        <w:left w:val="none" w:sz="0" w:space="0" w:color="auto"/>
        <w:bottom w:val="none" w:sz="0" w:space="0" w:color="auto"/>
        <w:right w:val="none" w:sz="0" w:space="0" w:color="auto"/>
      </w:divBdr>
    </w:div>
    <w:div w:id="1990279610">
      <w:bodyDiv w:val="1"/>
      <w:marLeft w:val="0"/>
      <w:marRight w:val="0"/>
      <w:marTop w:val="0"/>
      <w:marBottom w:val="0"/>
      <w:divBdr>
        <w:top w:val="none" w:sz="0" w:space="0" w:color="auto"/>
        <w:left w:val="none" w:sz="0" w:space="0" w:color="auto"/>
        <w:bottom w:val="none" w:sz="0" w:space="0" w:color="auto"/>
        <w:right w:val="none" w:sz="0" w:space="0" w:color="auto"/>
      </w:divBdr>
    </w:div>
    <w:div w:id="2028676360">
      <w:bodyDiv w:val="1"/>
      <w:marLeft w:val="0"/>
      <w:marRight w:val="0"/>
      <w:marTop w:val="0"/>
      <w:marBottom w:val="0"/>
      <w:divBdr>
        <w:top w:val="none" w:sz="0" w:space="0" w:color="auto"/>
        <w:left w:val="none" w:sz="0" w:space="0" w:color="auto"/>
        <w:bottom w:val="none" w:sz="0" w:space="0" w:color="auto"/>
        <w:right w:val="none" w:sz="0" w:space="0" w:color="auto"/>
      </w:divBdr>
    </w:div>
    <w:div w:id="2051227771">
      <w:bodyDiv w:val="1"/>
      <w:marLeft w:val="0"/>
      <w:marRight w:val="0"/>
      <w:marTop w:val="0"/>
      <w:marBottom w:val="0"/>
      <w:divBdr>
        <w:top w:val="none" w:sz="0" w:space="0" w:color="auto"/>
        <w:left w:val="none" w:sz="0" w:space="0" w:color="auto"/>
        <w:bottom w:val="none" w:sz="0" w:space="0" w:color="auto"/>
        <w:right w:val="none" w:sz="0" w:space="0" w:color="auto"/>
      </w:divBdr>
    </w:div>
    <w:div w:id="2059627774">
      <w:bodyDiv w:val="1"/>
      <w:marLeft w:val="0"/>
      <w:marRight w:val="0"/>
      <w:marTop w:val="0"/>
      <w:marBottom w:val="0"/>
      <w:divBdr>
        <w:top w:val="none" w:sz="0" w:space="0" w:color="auto"/>
        <w:left w:val="none" w:sz="0" w:space="0" w:color="auto"/>
        <w:bottom w:val="none" w:sz="0" w:space="0" w:color="auto"/>
        <w:right w:val="none" w:sz="0" w:space="0" w:color="auto"/>
      </w:divBdr>
    </w:div>
    <w:div w:id="2066640874">
      <w:bodyDiv w:val="1"/>
      <w:marLeft w:val="0"/>
      <w:marRight w:val="0"/>
      <w:marTop w:val="0"/>
      <w:marBottom w:val="0"/>
      <w:divBdr>
        <w:top w:val="none" w:sz="0" w:space="0" w:color="auto"/>
        <w:left w:val="none" w:sz="0" w:space="0" w:color="auto"/>
        <w:bottom w:val="none" w:sz="0" w:space="0" w:color="auto"/>
        <w:right w:val="none" w:sz="0" w:space="0" w:color="auto"/>
      </w:divBdr>
    </w:div>
    <w:div w:id="2067484179">
      <w:bodyDiv w:val="1"/>
      <w:marLeft w:val="0"/>
      <w:marRight w:val="0"/>
      <w:marTop w:val="0"/>
      <w:marBottom w:val="0"/>
      <w:divBdr>
        <w:top w:val="none" w:sz="0" w:space="0" w:color="auto"/>
        <w:left w:val="none" w:sz="0" w:space="0" w:color="auto"/>
        <w:bottom w:val="none" w:sz="0" w:space="0" w:color="auto"/>
        <w:right w:val="none" w:sz="0" w:space="0" w:color="auto"/>
      </w:divBdr>
    </w:div>
    <w:div w:id="2087727408">
      <w:bodyDiv w:val="1"/>
      <w:marLeft w:val="0"/>
      <w:marRight w:val="0"/>
      <w:marTop w:val="0"/>
      <w:marBottom w:val="0"/>
      <w:divBdr>
        <w:top w:val="none" w:sz="0" w:space="0" w:color="auto"/>
        <w:left w:val="none" w:sz="0" w:space="0" w:color="auto"/>
        <w:bottom w:val="none" w:sz="0" w:space="0" w:color="auto"/>
        <w:right w:val="none" w:sz="0" w:space="0" w:color="auto"/>
      </w:divBdr>
    </w:div>
    <w:div w:id="212986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header" Target="header1.xml"/><Relationship Id="rId21" Type="http://schemas.openxmlformats.org/officeDocument/2006/relationships/chart" Target="charts/chart11.xml"/><Relationship Id="rId34" Type="http://schemas.openxmlformats.org/officeDocument/2006/relationships/chart" Target="charts/chart24.xml"/><Relationship Id="rId42" Type="http://schemas.openxmlformats.org/officeDocument/2006/relationships/footer" Target="footer2.xml"/><Relationship Id="rId47" Type="http://schemas.openxmlformats.org/officeDocument/2006/relationships/hyperlink" Target="http://www.intechbank.ru/" TargetMode="External"/><Relationship Id="rId50" Type="http://schemas.openxmlformats.org/officeDocument/2006/relationships/hyperlink" Target="http://www.intechbank.ru/about/filials/d3/" TargetMode="External"/><Relationship Id="rId55" Type="http://schemas.openxmlformats.org/officeDocument/2006/relationships/hyperlink" Target="http://www.intechbank.ru/about/filials/zsf/" TargetMode="External"/><Relationship Id="rId63" Type="http://schemas.openxmlformats.org/officeDocument/2006/relationships/hyperlink" Target="http://www.intechbank.ru/about/filials/do1_chelny/" TargetMode="External"/><Relationship Id="rId68" Type="http://schemas.openxmlformats.org/officeDocument/2006/relationships/hyperlink" Target="http://www.intechbank.ru/about/filials/do3_nizhnekamsk/"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6.xml"/><Relationship Id="rId29" Type="http://schemas.openxmlformats.org/officeDocument/2006/relationships/chart" Target="charts/chart19.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chart" Target="charts/chart22.xml"/><Relationship Id="rId37" Type="http://schemas.openxmlformats.org/officeDocument/2006/relationships/chart" Target="charts/chart27.xml"/><Relationship Id="rId40" Type="http://schemas.openxmlformats.org/officeDocument/2006/relationships/header" Target="header2.xml"/><Relationship Id="rId45" Type="http://schemas.openxmlformats.org/officeDocument/2006/relationships/footer" Target="footer4.xml"/><Relationship Id="rId53" Type="http://schemas.openxmlformats.org/officeDocument/2006/relationships/hyperlink" Target="http://www.intechbank.ru/about/filials/d6/" TargetMode="External"/><Relationship Id="rId58" Type="http://schemas.openxmlformats.org/officeDocument/2006/relationships/hyperlink" Target="http://www.intechbank.ru/about/filials/operkassa_mezhlauka/" TargetMode="External"/><Relationship Id="rId66" Type="http://schemas.openxmlformats.org/officeDocument/2006/relationships/hyperlink" Target="http://www.intechbank.ru/about/filials/do1_nizhnekamsk/" TargetMode="External"/><Relationship Id="rId7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6.xml"/><Relationship Id="rId49" Type="http://schemas.openxmlformats.org/officeDocument/2006/relationships/hyperlink" Target="http://www.intechbank.ru/about/filials/d2/" TargetMode="External"/><Relationship Id="rId57" Type="http://schemas.openxmlformats.org/officeDocument/2006/relationships/hyperlink" Target="http://www.intechbank.ru/about/filials/frunze_9/" TargetMode="External"/><Relationship Id="rId61" Type="http://schemas.openxmlformats.org/officeDocument/2006/relationships/hyperlink" Target="http://www.intechbank.ru/about/filials/moskow/" TargetMode="External"/><Relationship Id="rId10" Type="http://schemas.openxmlformats.org/officeDocument/2006/relationships/image" Target="media/image2.jpeg"/><Relationship Id="rId19" Type="http://schemas.openxmlformats.org/officeDocument/2006/relationships/chart" Target="charts/chart9.xml"/><Relationship Id="rId31" Type="http://schemas.openxmlformats.org/officeDocument/2006/relationships/chart" Target="charts/chart21.xml"/><Relationship Id="rId44" Type="http://schemas.openxmlformats.org/officeDocument/2006/relationships/footer" Target="footer3.xml"/><Relationship Id="rId52" Type="http://schemas.openxmlformats.org/officeDocument/2006/relationships/hyperlink" Target="http://www.intechbank.ru/about/filials/d5/" TargetMode="External"/><Relationship Id="rId60" Type="http://schemas.openxmlformats.org/officeDocument/2006/relationships/hyperlink" Target="http://www.intechbank.ru/about/filials/operkassa_dekabristov/" TargetMode="External"/><Relationship Id="rId65" Type="http://schemas.openxmlformats.org/officeDocument/2006/relationships/hyperlink" Target="http://www.intechbank.ru/about/filials/niznekamsk/" TargetMode="External"/><Relationship Id="rId73"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chart" Target="charts/chart25.xml"/><Relationship Id="rId43" Type="http://schemas.openxmlformats.org/officeDocument/2006/relationships/header" Target="header3.xml"/><Relationship Id="rId48" Type="http://schemas.openxmlformats.org/officeDocument/2006/relationships/hyperlink" Target="http://www.intechbank.ru/about/filials/do1/" TargetMode="External"/><Relationship Id="rId56" Type="http://schemas.openxmlformats.org/officeDocument/2006/relationships/hyperlink" Target="http://www.intechbank.ru/about/filials/zorge_95/" TargetMode="External"/><Relationship Id="rId64" Type="http://schemas.openxmlformats.org/officeDocument/2006/relationships/hyperlink" Target="http://www.intechbank.ru/about/filials/do2_chelny/" TargetMode="External"/><Relationship Id="rId69" Type="http://schemas.openxmlformats.org/officeDocument/2006/relationships/hyperlink" Target="http://www.intechbank.ru/about/filials/do4_almetievsk/" TargetMode="External"/><Relationship Id="rId8" Type="http://schemas.openxmlformats.org/officeDocument/2006/relationships/endnotes" Target="endnotes.xml"/><Relationship Id="rId51" Type="http://schemas.openxmlformats.org/officeDocument/2006/relationships/hyperlink" Target="http://www.intechbank.ru/about/filials/d4/" TargetMode="External"/><Relationship Id="rId72" Type="http://schemas.openxmlformats.org/officeDocument/2006/relationships/footer" Target="footer5.xml"/><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38" Type="http://schemas.openxmlformats.org/officeDocument/2006/relationships/image" Target="media/image3.emf"/><Relationship Id="rId46" Type="http://schemas.openxmlformats.org/officeDocument/2006/relationships/hyperlink" Target="mailto:info@intechbank.ru" TargetMode="External"/><Relationship Id="rId59" Type="http://schemas.openxmlformats.org/officeDocument/2006/relationships/hyperlink" Target="http://www.intechbank.ru/about/filials/operkassa_tatarstan/" TargetMode="External"/><Relationship Id="rId67" Type="http://schemas.openxmlformats.org/officeDocument/2006/relationships/hyperlink" Target="http://www.intechbank.ru/about/filials/do2_nizhnekamsk/" TargetMode="External"/><Relationship Id="rId20" Type="http://schemas.openxmlformats.org/officeDocument/2006/relationships/chart" Target="charts/chart10.xml"/><Relationship Id="rId41" Type="http://schemas.openxmlformats.org/officeDocument/2006/relationships/footer" Target="footer1.xml"/><Relationship Id="rId54" Type="http://schemas.openxmlformats.org/officeDocument/2006/relationships/hyperlink" Target="http://www.intechbank.ru/about/filials/d8/" TargetMode="External"/><Relationship Id="rId62" Type="http://schemas.openxmlformats.org/officeDocument/2006/relationships/hyperlink" Target="http://www.intechbank.ru/about/filials/chelny/" TargetMode="External"/><Relationship Id="rId70" Type="http://schemas.openxmlformats.org/officeDocument/2006/relationships/hyperlink" Target="http://www.intechbank.ru/about/filials/niznekamsk/"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baranova\&#1056;&#1072;&#1073;&#1086;&#1095;&#1080;&#1081;%20&#1089;&#1090;&#1086;&#1083;\&#1075;&#1088;&#1072;&#1092;&#1080;&#1082;&#1080;,%20&#1088;&#1072;&#1089;&#1095;&#1077;&#1090;&#1099;.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abaranova\&#1056;&#1072;&#1073;&#1086;&#1095;&#1080;&#1081;%20&#1089;&#1090;&#1086;&#1083;\&#1075;&#1088;&#1072;&#1092;&#1080;&#1082;&#1080;,%20&#1088;&#1072;&#1089;&#1095;&#1077;&#1090;&#1099;.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82;&#1072;&#1079;&#1085;,%20&#1082;&#1086;&#1088;&#1087;.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18.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abaranova\&#1056;&#1072;&#1073;&#1086;&#1095;&#1080;&#1081;%20&#1089;&#1090;&#1086;&#1083;\&#1075;&#1088;&#1072;&#1092;&#1080;&#1082;&#1080;,%20&#1088;&#1072;&#1089;&#1095;&#1077;&#1090;&#1099;.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abaranova\&#1056;&#1072;&#1073;&#1086;&#1095;&#1080;&#1081;%20&#1089;&#1090;&#1086;&#1083;\&#1075;&#1088;&#1072;&#1092;&#1080;&#1082;&#1080;,%20&#1088;&#1072;&#1089;&#1095;&#1077;&#1090;&#1099;.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Documents%20and%20Settings\abaranova\&#1056;&#1072;&#1073;&#1086;&#1095;&#1080;&#1081;%20&#1089;&#1090;&#1086;&#1083;\&#1075;&#1088;&#1072;&#1092;&#1080;&#1082;&#1080;,%20&#1088;&#1072;&#1089;&#1095;&#1077;&#1090;&#1099;.xlsx" TargetMode="External"/></Relationships>
</file>

<file path=word/charts/_rels/chart2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2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25.xml.rels><?xml version="1.0" encoding="UTF-8" standalone="yes"?>
<Relationships xmlns="http://schemas.openxmlformats.org/package/2006/relationships"><Relationship Id="rId2"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 Id="rId1" Type="http://schemas.openxmlformats.org/officeDocument/2006/relationships/themeOverride" Target="../theme/themeOverride1.xml"/></Relationships>
</file>

<file path=word/charts/_rels/chart26.xml.rels><?xml version="1.0" encoding="UTF-8" standalone="yes"?>
<Relationships xmlns="http://schemas.openxmlformats.org/package/2006/relationships"><Relationship Id="rId2"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 Id="rId1" Type="http://schemas.openxmlformats.org/officeDocument/2006/relationships/themeOverride" Target="../theme/themeOverride2.xml"/></Relationships>
</file>

<file path=word/charts/_rels/chart27.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48;&#1083;&#1100;&#1103;.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ambar\business\Analit\&#1043;&#1086;&#1076;&#1086;&#1074;&#1099;&#1077;%20&#1086;&#1090;&#1095;&#1105;&#1090;&#1099;%20&#1073;&#1072;&#1085;&#1082;&#1086;&#1074;\&#1048;&#1085;&#1090;&#1077;&#1093;&#1041;&#1072;&#1085;&#1082;_2016\&#1075;&#1088;&#1072;&#1092;&#1080;&#1082;&#1080;,%20&#1088;&#1072;&#1089;&#1095;&#1077;&#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layout/>
      <c:overlay val="0"/>
      <c:txPr>
        <a:bodyPr/>
        <a:lstStyle/>
        <a:p>
          <a:pPr>
            <a:defRPr sz="1400"/>
          </a:pPr>
          <a:endParaRPr lang="ru-RU"/>
        </a:p>
      </c:txPr>
    </c:title>
    <c:autoTitleDeleted val="0"/>
    <c:plotArea>
      <c:layout/>
      <c:barChart>
        <c:barDir val="bar"/>
        <c:grouping val="clustered"/>
        <c:varyColors val="1"/>
        <c:ser>
          <c:idx val="0"/>
          <c:order val="0"/>
          <c:tx>
            <c:strRef>
              <c:f>Лист1!$A$27</c:f>
              <c:strCache>
                <c:ptCount val="1"/>
                <c:pt idx="0">
                  <c:v>ЧОД/Активы</c:v>
                </c:pt>
              </c:strCache>
            </c:strRef>
          </c:tx>
          <c:invertIfNegative val="0"/>
          <c:dPt>
            <c:idx val="0"/>
            <c:invertIfNegative val="0"/>
            <c:bubble3D val="0"/>
            <c:spPr>
              <a:solidFill>
                <a:srgbClr val="00B050"/>
              </a:solidFill>
            </c:spPr>
          </c:dPt>
          <c:dLbls>
            <c:txPr>
              <a:bodyPr/>
              <a:lstStyle/>
              <a:p>
                <a:pPr>
                  <a:defRPr sz="1200" b="1" i="0"/>
                </a:pPr>
                <a:endParaRPr lang="ru-RU"/>
              </a:p>
            </c:txPr>
            <c:showLegendKey val="0"/>
            <c:showVal val="1"/>
            <c:showCatName val="0"/>
            <c:showSerName val="0"/>
            <c:showPercent val="0"/>
            <c:showBubbleSize val="0"/>
            <c:showLeaderLines val="0"/>
          </c:dLbls>
          <c:cat>
            <c:numRef>
              <c:f>Лист1!$B$21:$D$21</c:f>
              <c:numCache>
                <c:formatCode>General</c:formatCode>
                <c:ptCount val="3"/>
                <c:pt idx="0">
                  <c:v>2015</c:v>
                </c:pt>
                <c:pt idx="1">
                  <c:v>2014</c:v>
                </c:pt>
                <c:pt idx="2">
                  <c:v>2013</c:v>
                </c:pt>
              </c:numCache>
            </c:numRef>
          </c:cat>
          <c:val>
            <c:numRef>
              <c:f>Лист1!$B$27:$D$27</c:f>
              <c:numCache>
                <c:formatCode>0.0%</c:formatCode>
                <c:ptCount val="3"/>
                <c:pt idx="0">
                  <c:v>3.9005907013352173E-2</c:v>
                </c:pt>
                <c:pt idx="1">
                  <c:v>3.8286624725579373E-2</c:v>
                </c:pt>
                <c:pt idx="2">
                  <c:v>4.5132396514827672E-2</c:v>
                </c:pt>
              </c:numCache>
            </c:numRef>
          </c:val>
        </c:ser>
        <c:dLbls>
          <c:showLegendKey val="0"/>
          <c:showVal val="0"/>
          <c:showCatName val="0"/>
          <c:showSerName val="0"/>
          <c:showPercent val="0"/>
          <c:showBubbleSize val="0"/>
        </c:dLbls>
        <c:gapWidth val="150"/>
        <c:axId val="93680768"/>
        <c:axId val="93682304"/>
      </c:barChart>
      <c:catAx>
        <c:axId val="93680768"/>
        <c:scaling>
          <c:orientation val="minMax"/>
        </c:scaling>
        <c:delete val="0"/>
        <c:axPos val="l"/>
        <c:numFmt formatCode="General" sourceLinked="1"/>
        <c:majorTickMark val="none"/>
        <c:minorTickMark val="none"/>
        <c:tickLblPos val="nextTo"/>
        <c:txPr>
          <a:bodyPr/>
          <a:lstStyle/>
          <a:p>
            <a:pPr>
              <a:defRPr sz="1200" b="1"/>
            </a:pPr>
            <a:endParaRPr lang="ru-RU"/>
          </a:p>
        </c:txPr>
        <c:crossAx val="93682304"/>
        <c:crosses val="autoZero"/>
        <c:auto val="1"/>
        <c:lblAlgn val="ctr"/>
        <c:lblOffset val="100"/>
        <c:noMultiLvlLbl val="0"/>
      </c:catAx>
      <c:valAx>
        <c:axId val="93682304"/>
        <c:scaling>
          <c:orientation val="minMax"/>
        </c:scaling>
        <c:delete val="1"/>
        <c:axPos val="b"/>
        <c:numFmt formatCode="0.0%" sourceLinked="1"/>
        <c:majorTickMark val="out"/>
        <c:minorTickMark val="none"/>
        <c:tickLblPos val="nextTo"/>
        <c:crossAx val="93680768"/>
        <c:crosses val="autoZero"/>
        <c:crossBetween val="between"/>
      </c:valAx>
    </c:plotArea>
    <c:plotVisOnly val="1"/>
    <c:dispBlanksAs val="gap"/>
    <c:showDLblsOverMax val="0"/>
  </c:chart>
  <c:spPr>
    <a:noFill/>
    <a:ln>
      <a:noFill/>
    </a:ln>
  </c:spPr>
  <c:txPr>
    <a:bodyPr/>
    <a:lstStyle/>
    <a:p>
      <a:pPr>
        <a:defRPr>
          <a:latin typeface="Georgia" panose="02040502050405020303" pitchFamily="18" charset="0"/>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tx>
        <c:rich>
          <a:bodyPr/>
          <a:lstStyle/>
          <a:p>
            <a:pPr>
              <a:defRPr sz="1150"/>
            </a:pPr>
            <a:r>
              <a:rPr lang="ru-RU" sz="1150"/>
              <a:t>Динамика розничного кредитного портфеля, млн. руб.</a:t>
            </a:r>
          </a:p>
        </c:rich>
      </c:tx>
      <c:layout>
        <c:manualLayout>
          <c:xMode val="edge"/>
          <c:yMode val="edge"/>
          <c:x val="0.1664973598959002"/>
          <c:y val="0"/>
        </c:manualLayout>
      </c:layout>
      <c:overlay val="0"/>
    </c:title>
    <c:autoTitleDeleted val="0"/>
    <c:plotArea>
      <c:layout>
        <c:manualLayout>
          <c:layoutTarget val="inner"/>
          <c:xMode val="edge"/>
          <c:yMode val="edge"/>
          <c:x val="3.6850930993796015E-2"/>
          <c:y val="0.11823027386792612"/>
          <c:w val="0.93509567129497284"/>
          <c:h val="0.58403181023494233"/>
        </c:manualLayout>
      </c:layout>
      <c:barChart>
        <c:barDir val="col"/>
        <c:grouping val="stacked"/>
        <c:varyColors val="0"/>
        <c:ser>
          <c:idx val="0"/>
          <c:order val="0"/>
          <c:tx>
            <c:strRef>
              <c:f>розн!$A$11</c:f>
              <c:strCache>
                <c:ptCount val="1"/>
                <c:pt idx="0">
                  <c:v>потребительские кредиты</c:v>
                </c:pt>
              </c:strCache>
            </c:strRef>
          </c:tx>
          <c:invertIfNegative val="0"/>
          <c:dPt>
            <c:idx val="2"/>
            <c:invertIfNegative val="0"/>
            <c:bubble3D val="0"/>
            <c:spPr>
              <a:solidFill>
                <a:srgbClr val="006C31"/>
              </a:solidFill>
            </c:spPr>
          </c:dPt>
          <c:dLbls>
            <c:txPr>
              <a:bodyPr/>
              <a:lstStyle/>
              <a:p>
                <a:pPr>
                  <a:defRPr b="1">
                    <a:solidFill>
                      <a:schemeClr val="bg1"/>
                    </a:solidFill>
                  </a:defRPr>
                </a:pPr>
                <a:endParaRPr lang="ru-RU"/>
              </a:p>
            </c:txPr>
            <c:showLegendKey val="0"/>
            <c:showVal val="1"/>
            <c:showCatName val="0"/>
            <c:showSerName val="0"/>
            <c:showPercent val="0"/>
            <c:showBubbleSize val="0"/>
            <c:showLeaderLines val="0"/>
          </c:dLbls>
          <c:cat>
            <c:strRef>
              <c:f>розн!$B$10:$D$10</c:f>
              <c:strCache>
                <c:ptCount val="3"/>
                <c:pt idx="0">
                  <c:v>2013</c:v>
                </c:pt>
                <c:pt idx="1">
                  <c:v>2014</c:v>
                </c:pt>
                <c:pt idx="2">
                  <c:v>2015</c:v>
                </c:pt>
              </c:strCache>
            </c:strRef>
          </c:cat>
          <c:val>
            <c:numRef>
              <c:f>розн!$B$11:$D$11</c:f>
              <c:numCache>
                <c:formatCode>_-* #,##0_р_._-;\-* #,##0_р_._-;_-* "-"??_р_._-;_-@_-</c:formatCode>
                <c:ptCount val="3"/>
                <c:pt idx="0">
                  <c:v>765.73236426999995</c:v>
                </c:pt>
                <c:pt idx="1">
                  <c:v>753.16570105999995</c:v>
                </c:pt>
                <c:pt idx="2">
                  <c:v>547.07278214000007</c:v>
                </c:pt>
              </c:numCache>
            </c:numRef>
          </c:val>
        </c:ser>
        <c:ser>
          <c:idx val="1"/>
          <c:order val="1"/>
          <c:tx>
            <c:strRef>
              <c:f>розн!$A$14</c:f>
              <c:strCache>
                <c:ptCount val="1"/>
                <c:pt idx="0">
                  <c:v>ипотечные кредиты</c:v>
                </c:pt>
              </c:strCache>
            </c:strRef>
          </c:tx>
          <c:invertIfNegative val="0"/>
          <c:dPt>
            <c:idx val="0"/>
            <c:invertIfNegative val="0"/>
            <c:bubble3D val="0"/>
            <c:spPr>
              <a:solidFill>
                <a:schemeClr val="accent1">
                  <a:lumMod val="60000"/>
                  <a:lumOff val="40000"/>
                </a:schemeClr>
              </a:solidFill>
            </c:spPr>
          </c:dPt>
          <c:dPt>
            <c:idx val="1"/>
            <c:invertIfNegative val="0"/>
            <c:bubble3D val="0"/>
            <c:spPr>
              <a:solidFill>
                <a:schemeClr val="accent1">
                  <a:lumMod val="60000"/>
                  <a:lumOff val="40000"/>
                </a:schemeClr>
              </a:solidFill>
            </c:spPr>
          </c:dPt>
          <c:dPt>
            <c:idx val="2"/>
            <c:invertIfNegative val="0"/>
            <c:bubble3D val="0"/>
            <c:spPr>
              <a:solidFill>
                <a:srgbClr val="00B050"/>
              </a:solidFill>
            </c:spPr>
          </c:dPt>
          <c:dLbls>
            <c:txPr>
              <a:bodyPr/>
              <a:lstStyle/>
              <a:p>
                <a:pPr>
                  <a:defRPr b="1"/>
                </a:pPr>
                <a:endParaRPr lang="ru-RU"/>
              </a:p>
            </c:txPr>
            <c:showLegendKey val="0"/>
            <c:showVal val="1"/>
            <c:showCatName val="0"/>
            <c:showSerName val="0"/>
            <c:showPercent val="0"/>
            <c:showBubbleSize val="0"/>
            <c:showLeaderLines val="0"/>
          </c:dLbls>
          <c:cat>
            <c:strRef>
              <c:f>розн!$B$10:$D$10</c:f>
              <c:strCache>
                <c:ptCount val="3"/>
                <c:pt idx="0">
                  <c:v>2013</c:v>
                </c:pt>
                <c:pt idx="1">
                  <c:v>2014</c:v>
                </c:pt>
                <c:pt idx="2">
                  <c:v>2015</c:v>
                </c:pt>
              </c:strCache>
            </c:strRef>
          </c:cat>
          <c:val>
            <c:numRef>
              <c:f>розн!$B$14:$D$14</c:f>
              <c:numCache>
                <c:formatCode>_-* #,##0_р_._-;\-* #,##0_р_._-;_-* "-"??_р_._-;_-@_-</c:formatCode>
                <c:ptCount val="3"/>
                <c:pt idx="0">
                  <c:v>555.73565993000011</c:v>
                </c:pt>
                <c:pt idx="1">
                  <c:v>986.59241187999953</c:v>
                </c:pt>
                <c:pt idx="2">
                  <c:v>1653.2110840699997</c:v>
                </c:pt>
              </c:numCache>
            </c:numRef>
          </c:val>
        </c:ser>
        <c:ser>
          <c:idx val="2"/>
          <c:order val="2"/>
          <c:tx>
            <c:strRef>
              <c:f>розн!$A$17</c:f>
              <c:strCache>
                <c:ptCount val="1"/>
                <c:pt idx="0">
                  <c:v>автокредиты</c:v>
                </c:pt>
              </c:strCache>
            </c:strRef>
          </c:tx>
          <c:invertIfNegative val="0"/>
          <c:dPt>
            <c:idx val="2"/>
            <c:invertIfNegative val="0"/>
            <c:bubble3D val="0"/>
            <c:spPr>
              <a:solidFill>
                <a:srgbClr val="00E266"/>
              </a:solidFill>
            </c:spPr>
          </c:dPt>
          <c:dLbls>
            <c:delete val="1"/>
          </c:dLbls>
          <c:cat>
            <c:strRef>
              <c:f>розн!$B$10:$D$10</c:f>
              <c:strCache>
                <c:ptCount val="3"/>
                <c:pt idx="0">
                  <c:v>2013</c:v>
                </c:pt>
                <c:pt idx="1">
                  <c:v>2014</c:v>
                </c:pt>
                <c:pt idx="2">
                  <c:v>2015</c:v>
                </c:pt>
              </c:strCache>
            </c:strRef>
          </c:cat>
          <c:val>
            <c:numRef>
              <c:f>розн!$B$17:$D$17</c:f>
              <c:numCache>
                <c:formatCode>_-* #,##0_р_._-;\-* #,##0_р_._-;_-* "-"??_р_._-;_-@_-</c:formatCode>
                <c:ptCount val="3"/>
                <c:pt idx="0">
                  <c:v>38.828491620000008</c:v>
                </c:pt>
                <c:pt idx="1">
                  <c:v>30.989601400000002</c:v>
                </c:pt>
                <c:pt idx="2">
                  <c:v>17.89997623</c:v>
                </c:pt>
              </c:numCache>
            </c:numRef>
          </c:val>
        </c:ser>
        <c:ser>
          <c:idx val="3"/>
          <c:order val="3"/>
          <c:tx>
            <c:strRef>
              <c:f>розн!$A$18</c:f>
              <c:strCache>
                <c:ptCount val="1"/>
                <c:pt idx="0">
                  <c:v>кредиты, переданные на баланс SPV компании</c:v>
                </c:pt>
              </c:strCache>
            </c:strRef>
          </c:tx>
          <c:spPr>
            <a:solidFill>
              <a:srgbClr val="99FFCC"/>
            </a:solidFill>
          </c:spPr>
          <c:invertIfNegative val="0"/>
          <c:dLbls>
            <c:txPr>
              <a:bodyPr/>
              <a:lstStyle/>
              <a:p>
                <a:pPr>
                  <a:defRPr b="1"/>
                </a:pPr>
                <a:endParaRPr lang="ru-RU"/>
              </a:p>
            </c:txPr>
            <c:showLegendKey val="0"/>
            <c:showVal val="1"/>
            <c:showCatName val="0"/>
            <c:showSerName val="0"/>
            <c:showPercent val="0"/>
            <c:showBubbleSize val="0"/>
            <c:showLeaderLines val="0"/>
          </c:dLbls>
          <c:cat>
            <c:strRef>
              <c:f>розн!$B$10:$D$10</c:f>
              <c:strCache>
                <c:ptCount val="3"/>
                <c:pt idx="0">
                  <c:v>2013</c:v>
                </c:pt>
                <c:pt idx="1">
                  <c:v>2014</c:v>
                </c:pt>
                <c:pt idx="2">
                  <c:v>2015</c:v>
                </c:pt>
              </c:strCache>
            </c:strRef>
          </c:cat>
          <c:val>
            <c:numRef>
              <c:f>розн!$B$18:$D$18</c:f>
              <c:numCache>
                <c:formatCode>_-* #,##0_р_._-;\-* #,##0_р_._-;_-* "-"??_р_._-;_-@_-</c:formatCode>
                <c:ptCount val="3"/>
                <c:pt idx="0">
                  <c:v>0</c:v>
                </c:pt>
                <c:pt idx="1">
                  <c:v>1106.6959999999999</c:v>
                </c:pt>
                <c:pt idx="2">
                  <c:v>2879.0507318099999</c:v>
                </c:pt>
              </c:numCache>
            </c:numRef>
          </c:val>
        </c:ser>
        <c:dLbls>
          <c:showLegendKey val="0"/>
          <c:showVal val="1"/>
          <c:showCatName val="0"/>
          <c:showSerName val="0"/>
          <c:showPercent val="0"/>
          <c:showBubbleSize val="0"/>
        </c:dLbls>
        <c:gapWidth val="150"/>
        <c:overlap val="100"/>
        <c:axId val="35773440"/>
        <c:axId val="36119296"/>
      </c:barChart>
      <c:catAx>
        <c:axId val="35773440"/>
        <c:scaling>
          <c:orientation val="minMax"/>
        </c:scaling>
        <c:delete val="0"/>
        <c:axPos val="b"/>
        <c:numFmt formatCode="@" sourceLinked="1"/>
        <c:majorTickMark val="out"/>
        <c:minorTickMark val="none"/>
        <c:tickLblPos val="nextTo"/>
        <c:txPr>
          <a:bodyPr/>
          <a:lstStyle/>
          <a:p>
            <a:pPr>
              <a:defRPr b="1"/>
            </a:pPr>
            <a:endParaRPr lang="ru-RU"/>
          </a:p>
        </c:txPr>
        <c:crossAx val="36119296"/>
        <c:crosses val="autoZero"/>
        <c:auto val="1"/>
        <c:lblAlgn val="ctr"/>
        <c:lblOffset val="100"/>
        <c:noMultiLvlLbl val="0"/>
      </c:catAx>
      <c:valAx>
        <c:axId val="36119296"/>
        <c:scaling>
          <c:orientation val="minMax"/>
        </c:scaling>
        <c:delete val="1"/>
        <c:axPos val="l"/>
        <c:numFmt formatCode="_-* #,##0_р_._-;\-* #,##0_р_._-;_-* &quot;-&quot;??_р_._-;_-@_-" sourceLinked="1"/>
        <c:majorTickMark val="out"/>
        <c:minorTickMark val="none"/>
        <c:tickLblPos val="none"/>
        <c:crossAx val="35773440"/>
        <c:crosses val="autoZero"/>
        <c:crossBetween val="between"/>
      </c:valAx>
    </c:plotArea>
    <c:legend>
      <c:legendPos val="r"/>
      <c:layout>
        <c:manualLayout>
          <c:xMode val="edge"/>
          <c:yMode val="edge"/>
          <c:x val="0"/>
          <c:y val="0.79151656010292226"/>
          <c:w val="1"/>
          <c:h val="0.20848343989707585"/>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0.10661481408799539"/>
          <c:y val="0.10167706309438591"/>
          <c:w val="0.8682539025097411"/>
          <c:h val="0.88484976623482914"/>
        </c:manualLayout>
      </c:layout>
      <c:barChart>
        <c:barDir val="bar"/>
        <c:grouping val="stacked"/>
        <c:varyColors val="0"/>
        <c:ser>
          <c:idx val="0"/>
          <c:order val="0"/>
          <c:tx>
            <c:strRef>
              <c:f>розн!$B$3</c:f>
              <c:strCache>
                <c:ptCount val="1"/>
                <c:pt idx="0">
                  <c:v>Розничный кредитный портфель</c:v>
                </c:pt>
              </c:strCache>
            </c:strRef>
          </c:tx>
          <c:invertIfNegative val="0"/>
          <c:dPt>
            <c:idx val="0"/>
            <c:invertIfNegative val="0"/>
            <c:bubble3D val="0"/>
            <c:spPr>
              <a:solidFill>
                <a:srgbClr val="00B050"/>
              </a:solidFill>
            </c:spPr>
          </c:dPt>
          <c:dPt>
            <c:idx val="2"/>
            <c:invertIfNegative val="0"/>
            <c:bubble3D val="0"/>
            <c:spPr>
              <a:solidFill>
                <a:schemeClr val="accent1">
                  <a:lumMod val="60000"/>
                  <a:lumOff val="40000"/>
                </a:schemeClr>
              </a:solidFill>
            </c:spPr>
          </c:dPt>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розн!$A$36:$A$38</c:f>
              <c:strCache>
                <c:ptCount val="3"/>
                <c:pt idx="0">
                  <c:v>2015</c:v>
                </c:pt>
                <c:pt idx="1">
                  <c:v>2014</c:v>
                </c:pt>
                <c:pt idx="2">
                  <c:v>2013</c:v>
                </c:pt>
              </c:strCache>
            </c:strRef>
          </c:cat>
          <c:val>
            <c:numRef>
              <c:f>розн!$B$36:$B$38</c:f>
              <c:numCache>
                <c:formatCode>0.00%</c:formatCode>
                <c:ptCount val="3"/>
                <c:pt idx="0">
                  <c:v>4.9849999999999998E-2</c:v>
                </c:pt>
                <c:pt idx="1">
                  <c:v>5.1695400841399813E-2</c:v>
                </c:pt>
                <c:pt idx="2">
                  <c:v>4.9062892030598187E-2</c:v>
                </c:pt>
              </c:numCache>
            </c:numRef>
          </c:val>
        </c:ser>
        <c:dLbls>
          <c:showLegendKey val="0"/>
          <c:showVal val="0"/>
          <c:showCatName val="0"/>
          <c:showSerName val="0"/>
          <c:showPercent val="0"/>
          <c:showBubbleSize val="0"/>
        </c:dLbls>
        <c:gapWidth val="75"/>
        <c:overlap val="100"/>
        <c:axId val="36140928"/>
        <c:axId val="36142464"/>
      </c:barChart>
      <c:catAx>
        <c:axId val="36140928"/>
        <c:scaling>
          <c:orientation val="minMax"/>
        </c:scaling>
        <c:delete val="0"/>
        <c:axPos val="l"/>
        <c:numFmt formatCode="@" sourceLinked="1"/>
        <c:majorTickMark val="out"/>
        <c:minorTickMark val="none"/>
        <c:tickLblPos val="nextTo"/>
        <c:spPr>
          <a:ln>
            <a:noFill/>
          </a:ln>
        </c:spPr>
        <c:txPr>
          <a:bodyPr/>
          <a:lstStyle/>
          <a:p>
            <a:pPr>
              <a:defRPr b="1"/>
            </a:pPr>
            <a:endParaRPr lang="ru-RU"/>
          </a:p>
        </c:txPr>
        <c:crossAx val="36142464"/>
        <c:crosses val="autoZero"/>
        <c:auto val="0"/>
        <c:lblAlgn val="ctr"/>
        <c:lblOffset val="100"/>
        <c:noMultiLvlLbl val="0"/>
      </c:catAx>
      <c:valAx>
        <c:axId val="36142464"/>
        <c:scaling>
          <c:orientation val="minMax"/>
        </c:scaling>
        <c:delete val="1"/>
        <c:axPos val="b"/>
        <c:numFmt formatCode="0.00%" sourceLinked="1"/>
        <c:majorTickMark val="out"/>
        <c:minorTickMark val="none"/>
        <c:tickLblPos val="none"/>
        <c:crossAx val="36140928"/>
        <c:crosses val="autoZero"/>
        <c:crossBetween val="between"/>
      </c:valAx>
    </c:plotArea>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3.6850930993796015E-2"/>
          <c:y val="6.7653998123880558E-4"/>
          <c:w val="0.93509567129497351"/>
          <c:h val="0.80135876517240401"/>
        </c:manualLayout>
      </c:layout>
      <c:barChart>
        <c:barDir val="col"/>
        <c:grouping val="stacked"/>
        <c:varyColors val="0"/>
        <c:ser>
          <c:idx val="0"/>
          <c:order val="0"/>
          <c:tx>
            <c:strRef>
              <c:f>розн!$A$75</c:f>
              <c:strCache>
                <c:ptCount val="1"/>
                <c:pt idx="0">
                  <c:v>   свыше трех лет</c:v>
                </c:pt>
              </c:strCache>
            </c:strRef>
          </c:tx>
          <c:invertIfNegative val="0"/>
          <c:dPt>
            <c:idx val="0"/>
            <c:invertIfNegative val="0"/>
            <c:bubble3D val="0"/>
            <c:spPr>
              <a:solidFill>
                <a:schemeClr val="accent1">
                  <a:lumMod val="50000"/>
                </a:schemeClr>
              </a:solidFill>
            </c:spPr>
          </c:dPt>
          <c:dPt>
            <c:idx val="1"/>
            <c:invertIfNegative val="0"/>
            <c:bubble3D val="0"/>
            <c:spPr>
              <a:solidFill>
                <a:schemeClr val="accent1">
                  <a:lumMod val="50000"/>
                </a:schemeClr>
              </a:solidFill>
            </c:spPr>
          </c:dPt>
          <c:dPt>
            <c:idx val="2"/>
            <c:invertIfNegative val="0"/>
            <c:bubble3D val="0"/>
            <c:spPr>
              <a:solidFill>
                <a:srgbClr val="00421E"/>
              </a:solidFill>
            </c:spPr>
          </c:dPt>
          <c:dLbls>
            <c:dLbl>
              <c:idx val="1"/>
              <c:layout>
                <c:manualLayout>
                  <c:x val="2.6298487836949381E-3"/>
                  <c:y val="-4.8134777376653793E-3"/>
                </c:manualLayout>
              </c:layout>
              <c:dLblPos val="ctr"/>
              <c:showLegendKey val="0"/>
              <c:showVal val="1"/>
              <c:showCatName val="0"/>
              <c:showSerName val="0"/>
              <c:showPercent val="0"/>
              <c:showBubbleSize val="0"/>
            </c:dLbl>
            <c:dLbl>
              <c:idx val="2"/>
              <c:layout>
                <c:manualLayout>
                  <c:x val="0"/>
                  <c:y val="-1.9254289964656945E-2"/>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розн!$B$69:$D$69</c:f>
              <c:strCache>
                <c:ptCount val="3"/>
                <c:pt idx="0">
                  <c:v>2013</c:v>
                </c:pt>
                <c:pt idx="1">
                  <c:v>2014</c:v>
                </c:pt>
                <c:pt idx="2">
                  <c:v>2015</c:v>
                </c:pt>
              </c:strCache>
            </c:strRef>
          </c:cat>
          <c:val>
            <c:numRef>
              <c:f>розн!$B$75:$D$75</c:f>
              <c:numCache>
                <c:formatCode>#,##0</c:formatCode>
                <c:ptCount val="3"/>
                <c:pt idx="0">
                  <c:v>573.32264787999998</c:v>
                </c:pt>
                <c:pt idx="1">
                  <c:v>237.95552120999997</c:v>
                </c:pt>
                <c:pt idx="2">
                  <c:v>134.42117150999999</c:v>
                </c:pt>
              </c:numCache>
            </c:numRef>
          </c:val>
        </c:ser>
        <c:ser>
          <c:idx val="1"/>
          <c:order val="1"/>
          <c:tx>
            <c:strRef>
              <c:f>розн!$A$74</c:f>
              <c:strCache>
                <c:ptCount val="1"/>
                <c:pt idx="0">
                  <c:v>   1-3 года</c:v>
                </c:pt>
              </c:strCache>
            </c:strRef>
          </c:tx>
          <c:invertIfNegative val="0"/>
          <c:dPt>
            <c:idx val="2"/>
            <c:invertIfNegative val="0"/>
            <c:bubble3D val="0"/>
            <c:spPr>
              <a:solidFill>
                <a:srgbClr val="006C31"/>
              </a:solidFill>
            </c:spPr>
          </c:dPt>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розн!$B$69:$D$69</c:f>
              <c:strCache>
                <c:ptCount val="3"/>
                <c:pt idx="0">
                  <c:v>2013</c:v>
                </c:pt>
                <c:pt idx="1">
                  <c:v>2014</c:v>
                </c:pt>
                <c:pt idx="2">
                  <c:v>2015</c:v>
                </c:pt>
              </c:strCache>
            </c:strRef>
          </c:cat>
          <c:val>
            <c:numRef>
              <c:f>розн!$B$74:$D$74</c:f>
              <c:numCache>
                <c:formatCode>#,##0</c:formatCode>
                <c:ptCount val="3"/>
                <c:pt idx="0">
                  <c:v>3870.8978049499997</c:v>
                </c:pt>
                <c:pt idx="1">
                  <c:v>6249.2545905900006</c:v>
                </c:pt>
                <c:pt idx="2">
                  <c:v>11695.207819559999</c:v>
                </c:pt>
              </c:numCache>
            </c:numRef>
          </c:val>
        </c:ser>
        <c:ser>
          <c:idx val="2"/>
          <c:order val="2"/>
          <c:tx>
            <c:strRef>
              <c:f>розн!$A$73</c:f>
              <c:strCache>
                <c:ptCount val="1"/>
                <c:pt idx="0">
                  <c:v>   181 дней - 1 год</c:v>
                </c:pt>
              </c:strCache>
            </c:strRef>
          </c:tx>
          <c:invertIfNegative val="0"/>
          <c:dPt>
            <c:idx val="2"/>
            <c:invertIfNegative val="0"/>
            <c:bubble3D val="0"/>
            <c:spPr>
              <a:solidFill>
                <a:srgbClr val="00B050"/>
              </a:solidFill>
            </c:spPr>
          </c:dPt>
          <c:dLbls>
            <c:dLbl>
              <c:idx val="0"/>
              <c:layout>
                <c:manualLayout>
                  <c:x val="0"/>
                  <c:y val="-3.0534363380562802E-2"/>
                </c:manualLayout>
              </c:layout>
              <c:dLblPos val="ctr"/>
              <c:showLegendKey val="0"/>
              <c:showVal val="1"/>
              <c:showCatName val="0"/>
              <c:showSerName val="0"/>
              <c:showPercent val="0"/>
              <c:showBubbleSize val="0"/>
            </c:dLbl>
            <c:dLbl>
              <c:idx val="1"/>
              <c:layout>
                <c:manualLayout>
                  <c:x val="-6.1417508822691153E-17"/>
                  <c:y val="-2.0356242253708502E-2"/>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розн!$B$69:$D$69</c:f>
              <c:strCache>
                <c:ptCount val="3"/>
                <c:pt idx="0">
                  <c:v>2013</c:v>
                </c:pt>
                <c:pt idx="1">
                  <c:v>2014</c:v>
                </c:pt>
                <c:pt idx="2">
                  <c:v>2015</c:v>
                </c:pt>
              </c:strCache>
            </c:strRef>
          </c:cat>
          <c:val>
            <c:numRef>
              <c:f>розн!$B$73:$D$73</c:f>
              <c:numCache>
                <c:formatCode>#,##0</c:formatCode>
                <c:ptCount val="3"/>
                <c:pt idx="0">
                  <c:v>4682.0440400900006</c:v>
                </c:pt>
                <c:pt idx="1">
                  <c:v>3011.0697197300001</c:v>
                </c:pt>
                <c:pt idx="2">
                  <c:v>1060.4674367</c:v>
                </c:pt>
              </c:numCache>
            </c:numRef>
          </c:val>
        </c:ser>
        <c:ser>
          <c:idx val="3"/>
          <c:order val="3"/>
          <c:tx>
            <c:strRef>
              <c:f>розн!$A$72</c:f>
              <c:strCache>
                <c:ptCount val="1"/>
                <c:pt idx="0">
                  <c:v>   91-180 дней</c:v>
                </c:pt>
              </c:strCache>
            </c:strRef>
          </c:tx>
          <c:invertIfNegative val="0"/>
          <c:dPt>
            <c:idx val="2"/>
            <c:invertIfNegative val="0"/>
            <c:bubble3D val="0"/>
            <c:spPr>
              <a:solidFill>
                <a:srgbClr val="00CC66"/>
              </a:solidFill>
            </c:spPr>
          </c:dPt>
          <c:dLbls>
            <c:dLbl>
              <c:idx val="1"/>
              <c:layout>
                <c:manualLayout>
                  <c:x val="-2.6298487836949381E-3"/>
                  <c:y val="0"/>
                </c:manualLayout>
              </c:layout>
              <c:tx>
                <c:rich>
                  <a:bodyPr/>
                  <a:lstStyle/>
                  <a:p>
                    <a:r>
                      <a:rPr lang="en-US" b="1">
                        <a:solidFill>
                          <a:schemeClr val="tx1"/>
                        </a:solidFill>
                      </a:rPr>
                      <a:t> </a:t>
                    </a:r>
                    <a:r>
                      <a:rPr lang="ru-RU">
                        <a:solidFill>
                          <a:schemeClr val="tx1"/>
                        </a:solidFill>
                      </a:rPr>
                      <a:t>254</a:t>
                    </a:r>
                    <a:r>
                      <a:rPr lang="en-US">
                        <a:solidFill>
                          <a:schemeClr val="tx1"/>
                        </a:solidFill>
                      </a:rPr>
                      <a:t>     </a:t>
                    </a:r>
                  </a:p>
                </c:rich>
              </c:tx>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розн!$B$69:$D$69</c:f>
              <c:strCache>
                <c:ptCount val="3"/>
                <c:pt idx="0">
                  <c:v>2013</c:v>
                </c:pt>
                <c:pt idx="1">
                  <c:v>2014</c:v>
                </c:pt>
                <c:pt idx="2">
                  <c:v>2015</c:v>
                </c:pt>
              </c:strCache>
            </c:strRef>
          </c:cat>
          <c:val>
            <c:numRef>
              <c:f>розн!$B$72:$D$72</c:f>
              <c:numCache>
                <c:formatCode>#,##0</c:formatCode>
                <c:ptCount val="3"/>
                <c:pt idx="0">
                  <c:v>254.09657344000001</c:v>
                </c:pt>
                <c:pt idx="1">
                  <c:v>744.90879367000002</c:v>
                </c:pt>
                <c:pt idx="2">
                  <c:v>301.62271078000003</c:v>
                </c:pt>
              </c:numCache>
            </c:numRef>
          </c:val>
        </c:ser>
        <c:ser>
          <c:idx val="4"/>
          <c:order val="4"/>
          <c:tx>
            <c:strRef>
              <c:f>розн!$A$71</c:f>
              <c:strCache>
                <c:ptCount val="1"/>
                <c:pt idx="0">
                  <c:v>   31-90 дней</c:v>
                </c:pt>
              </c:strCache>
            </c:strRef>
          </c:tx>
          <c:invertIfNegative val="0"/>
          <c:dPt>
            <c:idx val="2"/>
            <c:invertIfNegative val="0"/>
            <c:bubble3D val="0"/>
            <c:spPr>
              <a:solidFill>
                <a:srgbClr val="29FF8A"/>
              </a:solidFill>
            </c:spPr>
          </c:dPt>
          <c:dLbls>
            <c:delete val="1"/>
          </c:dLbls>
          <c:cat>
            <c:strRef>
              <c:f>розн!$B$69:$D$69</c:f>
              <c:strCache>
                <c:ptCount val="3"/>
                <c:pt idx="0">
                  <c:v>2013</c:v>
                </c:pt>
                <c:pt idx="1">
                  <c:v>2014</c:v>
                </c:pt>
                <c:pt idx="2">
                  <c:v>2015</c:v>
                </c:pt>
              </c:strCache>
            </c:strRef>
          </c:cat>
          <c:val>
            <c:numRef>
              <c:f>розн!$B$71:$D$71</c:f>
              <c:numCache>
                <c:formatCode>#,##0</c:formatCode>
                <c:ptCount val="3"/>
                <c:pt idx="0">
                  <c:v>0</c:v>
                </c:pt>
                <c:pt idx="1">
                  <c:v>459.92061703999997</c:v>
                </c:pt>
                <c:pt idx="2">
                  <c:v>0</c:v>
                </c:pt>
              </c:numCache>
            </c:numRef>
          </c:val>
        </c:ser>
        <c:ser>
          <c:idx val="5"/>
          <c:order val="5"/>
          <c:tx>
            <c:strRef>
              <c:f>розн!$A$70</c:f>
              <c:strCache>
                <c:ptCount val="1"/>
                <c:pt idx="0">
                  <c:v>   до востребования</c:v>
                </c:pt>
              </c:strCache>
            </c:strRef>
          </c:tx>
          <c:invertIfNegative val="0"/>
          <c:dPt>
            <c:idx val="2"/>
            <c:invertIfNegative val="0"/>
            <c:bubble3D val="0"/>
            <c:spPr>
              <a:solidFill>
                <a:srgbClr val="99FFCC"/>
              </a:solidFill>
            </c:spPr>
          </c:dPt>
          <c:dLbls>
            <c:dLbl>
              <c:idx val="0"/>
              <c:layout>
                <c:manualLayout>
                  <c:x val="0"/>
                  <c:y val="-1.4440433212996401E-2"/>
                </c:manualLayout>
              </c:layout>
              <c:showLegendKey val="0"/>
              <c:showVal val="1"/>
              <c:showCatName val="0"/>
              <c:showSerName val="0"/>
              <c:showPercent val="0"/>
              <c:showBubbleSize val="0"/>
            </c:dLbl>
            <c:dLbl>
              <c:idx val="1"/>
              <c:layout>
                <c:manualLayout>
                  <c:x val="0"/>
                  <c:y val="-1.4440433212996401E-2"/>
                </c:manualLayout>
              </c:layout>
              <c:showLegendKey val="0"/>
              <c:showVal val="1"/>
              <c:showCatName val="0"/>
              <c:showSerName val="0"/>
              <c:showPercent val="0"/>
              <c:showBubbleSize val="0"/>
            </c:dLbl>
            <c:dLbl>
              <c:idx val="2"/>
              <c:layout>
                <c:manualLayout>
                  <c:x val="-1.8984968651070514E-7"/>
                  <c:y val="-4.3321299638989168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розн!$B$69:$D$69</c:f>
              <c:strCache>
                <c:ptCount val="3"/>
                <c:pt idx="0">
                  <c:v>2013</c:v>
                </c:pt>
                <c:pt idx="1">
                  <c:v>2014</c:v>
                </c:pt>
                <c:pt idx="2">
                  <c:v>2015</c:v>
                </c:pt>
              </c:strCache>
            </c:strRef>
          </c:cat>
          <c:val>
            <c:numRef>
              <c:f>розн!$B$70:$D$70</c:f>
              <c:numCache>
                <c:formatCode>#,##0</c:formatCode>
                <c:ptCount val="3"/>
                <c:pt idx="0">
                  <c:v>623.84520712000005</c:v>
                </c:pt>
                <c:pt idx="1">
                  <c:v>479.27836334</c:v>
                </c:pt>
                <c:pt idx="2">
                  <c:v>703.0623865199999</c:v>
                </c:pt>
              </c:numCache>
            </c:numRef>
          </c:val>
        </c:ser>
        <c:dLbls>
          <c:showLegendKey val="0"/>
          <c:showVal val="1"/>
          <c:showCatName val="0"/>
          <c:showSerName val="0"/>
          <c:showPercent val="0"/>
          <c:showBubbleSize val="0"/>
        </c:dLbls>
        <c:gapWidth val="150"/>
        <c:overlap val="100"/>
        <c:axId val="36212736"/>
        <c:axId val="36214272"/>
      </c:barChart>
      <c:catAx>
        <c:axId val="36212736"/>
        <c:scaling>
          <c:orientation val="minMax"/>
        </c:scaling>
        <c:delete val="0"/>
        <c:axPos val="b"/>
        <c:numFmt formatCode="@" sourceLinked="1"/>
        <c:majorTickMark val="out"/>
        <c:minorTickMark val="none"/>
        <c:tickLblPos val="nextTo"/>
        <c:txPr>
          <a:bodyPr/>
          <a:lstStyle/>
          <a:p>
            <a:pPr>
              <a:defRPr b="1"/>
            </a:pPr>
            <a:endParaRPr lang="ru-RU"/>
          </a:p>
        </c:txPr>
        <c:crossAx val="36214272"/>
        <c:crosses val="autoZero"/>
        <c:auto val="1"/>
        <c:lblAlgn val="ctr"/>
        <c:lblOffset val="100"/>
        <c:noMultiLvlLbl val="0"/>
      </c:catAx>
      <c:valAx>
        <c:axId val="36214272"/>
        <c:scaling>
          <c:orientation val="minMax"/>
        </c:scaling>
        <c:delete val="1"/>
        <c:axPos val="l"/>
        <c:numFmt formatCode="#,##0" sourceLinked="1"/>
        <c:majorTickMark val="out"/>
        <c:minorTickMark val="none"/>
        <c:tickLblPos val="none"/>
        <c:crossAx val="36212736"/>
        <c:crosses val="autoZero"/>
        <c:crossBetween val="between"/>
      </c:valAx>
    </c:plotArea>
    <c:legend>
      <c:legendPos val="r"/>
      <c:layout>
        <c:manualLayout>
          <c:xMode val="edge"/>
          <c:yMode val="edge"/>
          <c:x val="0"/>
          <c:y val="0.88221968047554078"/>
          <c:w val="0.9991425036367495"/>
          <c:h val="0.11778031952445928"/>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0"/>
          <c:y val="0.15756277591737813"/>
          <c:w val="0.93130366900858763"/>
          <c:h val="0.53193395925496056"/>
        </c:manualLayout>
      </c:layout>
      <c:barChart>
        <c:barDir val="col"/>
        <c:grouping val="clustered"/>
        <c:varyColors val="0"/>
        <c:ser>
          <c:idx val="0"/>
          <c:order val="0"/>
          <c:tx>
            <c:strRef>
              <c:f>розн!$A$42</c:f>
              <c:strCache>
                <c:ptCount val="1"/>
                <c:pt idx="0">
                  <c:v>Остаток средств на карточных счетах, млн. руб.</c:v>
                </c:pt>
              </c:strCache>
            </c:strRef>
          </c:tx>
          <c:invertIfNegative val="0"/>
          <c:dPt>
            <c:idx val="2"/>
            <c:invertIfNegative val="0"/>
            <c:bubble3D val="0"/>
            <c:spPr>
              <a:solidFill>
                <a:srgbClr val="00B050"/>
              </a:solidFill>
            </c:spPr>
          </c:dPt>
          <c:dLbls>
            <c:dLbl>
              <c:idx val="0"/>
              <c:spPr/>
              <c:txPr>
                <a:bodyPr rot="0" vert="horz"/>
                <a:lstStyle/>
                <a:p>
                  <a:pPr>
                    <a:defRPr b="1">
                      <a:solidFill>
                        <a:schemeClr val="bg1"/>
                      </a:solidFill>
                    </a:defRPr>
                  </a:pPr>
                  <a:endParaRPr lang="ru-RU"/>
                </a:p>
              </c:txPr>
              <c:dLblPos val="ctr"/>
              <c:showLegendKey val="0"/>
              <c:showVal val="1"/>
              <c:showCatName val="0"/>
              <c:showSerName val="0"/>
              <c:showPercent val="0"/>
              <c:showBubbleSize val="0"/>
            </c:dLbl>
            <c:dLbl>
              <c:idx val="1"/>
              <c:spPr/>
              <c:txPr>
                <a:bodyPr rot="0" vert="horz"/>
                <a:lstStyle/>
                <a:p>
                  <a:pPr>
                    <a:defRPr b="1">
                      <a:solidFill>
                        <a:schemeClr val="bg1"/>
                      </a:solidFill>
                    </a:defRPr>
                  </a:pPr>
                  <a:endParaRPr lang="ru-RU"/>
                </a:p>
              </c:txPr>
              <c:dLblPos val="ctr"/>
              <c:showLegendKey val="0"/>
              <c:showVal val="1"/>
              <c:showCatName val="0"/>
              <c:showSerName val="0"/>
              <c:showPercent val="0"/>
              <c:showBubbleSize val="0"/>
            </c:dLbl>
            <c:txPr>
              <a:bodyPr rot="0" vert="horz"/>
              <a:lstStyle/>
              <a:p>
                <a:pPr>
                  <a:defRPr b="1"/>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розн!$B$41:$D$41</c:f>
              <c:numCache>
                <c:formatCode>0</c:formatCode>
                <c:ptCount val="3"/>
                <c:pt idx="0">
                  <c:v>2013</c:v>
                </c:pt>
                <c:pt idx="1">
                  <c:v>2014</c:v>
                </c:pt>
                <c:pt idx="2">
                  <c:v>2015</c:v>
                </c:pt>
              </c:numCache>
            </c:numRef>
          </c:cat>
          <c:val>
            <c:numRef>
              <c:f>розн!$B$42:$D$42</c:f>
              <c:numCache>
                <c:formatCode>_-* #,##0_р_._-;\-* #,##0_р_._-;_-* "-"??_р_._-;_-@_-</c:formatCode>
                <c:ptCount val="3"/>
                <c:pt idx="0">
                  <c:v>343</c:v>
                </c:pt>
                <c:pt idx="1">
                  <c:v>271</c:v>
                </c:pt>
                <c:pt idx="2">
                  <c:v>359.27642331999999</c:v>
                </c:pt>
              </c:numCache>
            </c:numRef>
          </c:val>
        </c:ser>
        <c:dLbls>
          <c:showLegendKey val="0"/>
          <c:showVal val="0"/>
          <c:showCatName val="0"/>
          <c:showSerName val="0"/>
          <c:showPercent val="0"/>
          <c:showBubbleSize val="0"/>
        </c:dLbls>
        <c:gapWidth val="126"/>
        <c:overlap val="-27"/>
        <c:axId val="35939456"/>
        <c:axId val="35940992"/>
      </c:barChart>
      <c:lineChart>
        <c:grouping val="standard"/>
        <c:varyColors val="0"/>
        <c:ser>
          <c:idx val="1"/>
          <c:order val="1"/>
          <c:tx>
            <c:strRef>
              <c:f>розн!$A$43</c:f>
              <c:strCache>
                <c:ptCount val="1"/>
                <c:pt idx="0">
                  <c:v>Количество эмитированных банковских карт, шт.</c:v>
                </c:pt>
              </c:strCache>
            </c:strRef>
          </c:tx>
          <c:spPr>
            <a:ln w="38100">
              <a:solidFill>
                <a:srgbClr val="99FFCC"/>
              </a:solidFill>
            </a:ln>
          </c:spPr>
          <c:marker>
            <c:symbol val="none"/>
          </c:marker>
          <c:dLbls>
            <c:dLbl>
              <c:idx val="0"/>
              <c:layout>
                <c:manualLayout>
                  <c:x val="-4.2797386001426345E-2"/>
                  <c:y val="-7.662835249042145E-2"/>
                </c:manualLayout>
              </c:layout>
              <c:dLblPos val="r"/>
              <c:showLegendKey val="0"/>
              <c:showVal val="1"/>
              <c:showCatName val="0"/>
              <c:showSerName val="0"/>
              <c:showPercent val="0"/>
              <c:showBubbleSize val="0"/>
            </c:dLbl>
            <c:dLbl>
              <c:idx val="1"/>
              <c:layout>
                <c:manualLayout>
                  <c:x val="-6.4695009242144177E-2"/>
                  <c:y val="-6.6411238825031929E-2"/>
                </c:manualLayout>
              </c:layout>
              <c:dLblPos val="r"/>
              <c:showLegendKey val="0"/>
              <c:showVal val="1"/>
              <c:showCatName val="0"/>
              <c:showSerName val="0"/>
              <c:showPercent val="0"/>
              <c:showBubbleSize val="0"/>
            </c:dLbl>
            <c:dLbl>
              <c:idx val="2"/>
              <c:layout>
                <c:manualLayout>
                  <c:x val="-5.4091140640691544E-2"/>
                  <c:y val="-4.5977011494252873E-2"/>
                </c:manualLayout>
              </c:layout>
              <c:dLblPos val="r"/>
              <c:showLegendKey val="0"/>
              <c:showVal val="1"/>
              <c:showCatName val="0"/>
              <c:showSerName val="0"/>
              <c:showPercent val="0"/>
              <c:showBubbleSize val="0"/>
            </c:dLbl>
            <c:txPr>
              <a:bodyPr rot="0" vert="horz"/>
              <a:lstStyle/>
              <a:p>
                <a:pPr>
                  <a:defRPr b="1"/>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розн!$B$41:$D$41</c:f>
              <c:numCache>
                <c:formatCode>0</c:formatCode>
                <c:ptCount val="3"/>
                <c:pt idx="0">
                  <c:v>2013</c:v>
                </c:pt>
                <c:pt idx="1">
                  <c:v>2014</c:v>
                </c:pt>
                <c:pt idx="2">
                  <c:v>2015</c:v>
                </c:pt>
              </c:numCache>
            </c:numRef>
          </c:cat>
          <c:val>
            <c:numRef>
              <c:f>розн!$B$43:$D$43</c:f>
              <c:numCache>
                <c:formatCode>_-* #,##0_р_._-;\-* #,##0_р_._-;_-* "-"??_р_._-;_-@_-</c:formatCode>
                <c:ptCount val="3"/>
                <c:pt idx="0">
                  <c:v>9120</c:v>
                </c:pt>
                <c:pt idx="1">
                  <c:v>14097</c:v>
                </c:pt>
                <c:pt idx="2">
                  <c:v>17154</c:v>
                </c:pt>
              </c:numCache>
            </c:numRef>
          </c:val>
          <c:smooth val="0"/>
        </c:ser>
        <c:dLbls>
          <c:showLegendKey val="0"/>
          <c:showVal val="0"/>
          <c:showCatName val="0"/>
          <c:showSerName val="0"/>
          <c:showPercent val="0"/>
          <c:showBubbleSize val="0"/>
        </c:dLbls>
        <c:marker val="1"/>
        <c:smooth val="0"/>
        <c:axId val="35952512"/>
        <c:axId val="35950976"/>
      </c:lineChart>
      <c:catAx>
        <c:axId val="35939456"/>
        <c:scaling>
          <c:orientation val="minMax"/>
        </c:scaling>
        <c:delete val="0"/>
        <c:axPos val="b"/>
        <c:numFmt formatCode="0" sourceLinked="1"/>
        <c:majorTickMark val="out"/>
        <c:minorTickMark val="none"/>
        <c:tickLblPos val="nextTo"/>
        <c:txPr>
          <a:bodyPr rot="-60000000" vert="horz"/>
          <a:lstStyle/>
          <a:p>
            <a:pPr>
              <a:defRPr/>
            </a:pPr>
            <a:endParaRPr lang="ru-RU"/>
          </a:p>
        </c:txPr>
        <c:crossAx val="35940992"/>
        <c:crosses val="autoZero"/>
        <c:auto val="1"/>
        <c:lblAlgn val="ctr"/>
        <c:lblOffset val="100"/>
        <c:noMultiLvlLbl val="0"/>
      </c:catAx>
      <c:valAx>
        <c:axId val="35940992"/>
        <c:scaling>
          <c:orientation val="minMax"/>
          <c:max val="700"/>
          <c:min val="0"/>
        </c:scaling>
        <c:delete val="0"/>
        <c:axPos val="l"/>
        <c:numFmt formatCode="_-* #,##0_р_._-;\-* #,##0_р_._-;_-* &quot;-&quot;??_р_._-;_-@_-" sourceLinked="1"/>
        <c:majorTickMark val="none"/>
        <c:minorTickMark val="none"/>
        <c:tickLblPos val="none"/>
        <c:spPr>
          <a:ln>
            <a:noFill/>
          </a:ln>
        </c:spPr>
        <c:txPr>
          <a:bodyPr rot="-60000000" vert="horz"/>
          <a:lstStyle/>
          <a:p>
            <a:pPr>
              <a:defRPr/>
            </a:pPr>
            <a:endParaRPr lang="ru-RU"/>
          </a:p>
        </c:txPr>
        <c:crossAx val="35939456"/>
        <c:crosses val="autoZero"/>
        <c:crossBetween val="between"/>
      </c:valAx>
      <c:valAx>
        <c:axId val="35950976"/>
        <c:scaling>
          <c:orientation val="minMax"/>
        </c:scaling>
        <c:delete val="0"/>
        <c:axPos val="r"/>
        <c:numFmt formatCode="_-* #,##0_р_._-;\-* #,##0_р_._-;_-* &quot;-&quot;??_р_._-;_-@_-" sourceLinked="1"/>
        <c:majorTickMark val="out"/>
        <c:minorTickMark val="none"/>
        <c:tickLblPos val="nextTo"/>
        <c:crossAx val="35952512"/>
        <c:crosses val="max"/>
        <c:crossBetween val="between"/>
      </c:valAx>
      <c:catAx>
        <c:axId val="35952512"/>
        <c:scaling>
          <c:orientation val="minMax"/>
        </c:scaling>
        <c:delete val="1"/>
        <c:axPos val="b"/>
        <c:numFmt formatCode="0" sourceLinked="1"/>
        <c:majorTickMark val="out"/>
        <c:minorTickMark val="none"/>
        <c:tickLblPos val="nextTo"/>
        <c:crossAx val="35950976"/>
        <c:crosses val="autoZero"/>
        <c:auto val="1"/>
        <c:lblAlgn val="ctr"/>
        <c:lblOffset val="100"/>
        <c:noMultiLvlLbl val="0"/>
      </c:catAx>
    </c:plotArea>
    <c:legend>
      <c:legendPos val="b"/>
      <c:layout>
        <c:manualLayout>
          <c:xMode val="edge"/>
          <c:yMode val="edge"/>
          <c:x val="6.3374874823362903E-2"/>
          <c:y val="0.80409491963838853"/>
          <c:w val="0.89233156464598551"/>
          <c:h val="0.15945860239714574"/>
        </c:manualLayout>
      </c:layout>
      <c:overlay val="0"/>
      <c:txPr>
        <a:bodyPr rot="0" vert="horz"/>
        <a:lstStyle/>
        <a:p>
          <a:pPr>
            <a:defRPr/>
          </a:pPr>
          <a:endParaRPr lang="ru-RU"/>
        </a:p>
      </c:txPr>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0.19964348206474228"/>
          <c:y val="7.5411247751334454E-2"/>
          <c:w val="0.76980096237970486"/>
          <c:h val="0.84937509215842399"/>
        </c:manualLayout>
      </c:layout>
      <c:barChart>
        <c:barDir val="bar"/>
        <c:grouping val="clustered"/>
        <c:varyColors val="0"/>
        <c:ser>
          <c:idx val="0"/>
          <c:order val="0"/>
          <c:invertIfNegative val="0"/>
          <c:dPt>
            <c:idx val="0"/>
            <c:invertIfNegative val="0"/>
            <c:bubble3D val="0"/>
            <c:spPr>
              <a:solidFill>
                <a:srgbClr val="00B050"/>
              </a:solidFill>
            </c:spPr>
          </c:dPt>
          <c:dPt>
            <c:idx val="1"/>
            <c:invertIfNegative val="0"/>
            <c:bubble3D val="0"/>
            <c:spPr>
              <a:solidFill>
                <a:schemeClr val="accent1">
                  <a:lumMod val="75000"/>
                </a:schemeClr>
              </a:solidFill>
            </c:spPr>
          </c:dPt>
          <c:dPt>
            <c:idx val="2"/>
            <c:invertIfNegative val="0"/>
            <c:bubble3D val="0"/>
            <c:spPr>
              <a:solidFill>
                <a:schemeClr val="accent1">
                  <a:lumMod val="60000"/>
                  <a:lumOff val="40000"/>
                </a:schemeClr>
              </a:solidFill>
            </c:spPr>
          </c:dPt>
          <c:dLbls>
            <c:txPr>
              <a:bodyPr/>
              <a:lstStyle/>
              <a:p>
                <a:pPr>
                  <a:defRPr b="1"/>
                </a:pPr>
                <a:endParaRPr lang="ru-RU"/>
              </a:p>
            </c:txPr>
            <c:dLblPos val="outEnd"/>
            <c:showLegendKey val="0"/>
            <c:showVal val="1"/>
            <c:showCatName val="0"/>
            <c:showSerName val="0"/>
            <c:showPercent val="0"/>
            <c:showBubbleSize val="0"/>
            <c:showLeaderLines val="0"/>
          </c:dLbls>
          <c:cat>
            <c:strRef>
              <c:f>корп!$A$7:$A$12</c:f>
              <c:strCache>
                <c:ptCount val="3"/>
                <c:pt idx="0">
                  <c:v>2015</c:v>
                </c:pt>
                <c:pt idx="1">
                  <c:v>2014</c:v>
                </c:pt>
                <c:pt idx="2">
                  <c:v>2013</c:v>
                </c:pt>
              </c:strCache>
            </c:strRef>
          </c:cat>
          <c:val>
            <c:numRef>
              <c:f>корп!$B$7:$B$12</c:f>
              <c:numCache>
                <c:formatCode>0.00%</c:formatCode>
                <c:ptCount val="3"/>
                <c:pt idx="0">
                  <c:v>4.8099999999999997E-2</c:v>
                </c:pt>
                <c:pt idx="1">
                  <c:v>5.0500000000000003E-2</c:v>
                </c:pt>
                <c:pt idx="2">
                  <c:v>4.0599999999999997E-2</c:v>
                </c:pt>
              </c:numCache>
            </c:numRef>
          </c:val>
        </c:ser>
        <c:dLbls>
          <c:showLegendKey val="0"/>
          <c:showVal val="0"/>
          <c:showCatName val="0"/>
          <c:showSerName val="0"/>
          <c:showPercent val="0"/>
          <c:showBubbleSize val="0"/>
        </c:dLbls>
        <c:gapWidth val="75"/>
        <c:axId val="35974528"/>
        <c:axId val="35976320"/>
      </c:barChart>
      <c:catAx>
        <c:axId val="35974528"/>
        <c:scaling>
          <c:orientation val="minMax"/>
        </c:scaling>
        <c:delete val="0"/>
        <c:axPos val="l"/>
        <c:numFmt formatCode="dd/mm/yyyy" sourceLinked="1"/>
        <c:majorTickMark val="out"/>
        <c:minorTickMark val="none"/>
        <c:tickLblPos val="nextTo"/>
        <c:spPr>
          <a:ln>
            <a:noFill/>
          </a:ln>
        </c:spPr>
        <c:txPr>
          <a:bodyPr/>
          <a:lstStyle/>
          <a:p>
            <a:pPr>
              <a:defRPr b="1"/>
            </a:pPr>
            <a:endParaRPr lang="ru-RU"/>
          </a:p>
        </c:txPr>
        <c:crossAx val="35976320"/>
        <c:crosses val="autoZero"/>
        <c:auto val="0"/>
        <c:lblAlgn val="ctr"/>
        <c:lblOffset val="100"/>
        <c:noMultiLvlLbl val="0"/>
      </c:catAx>
      <c:valAx>
        <c:axId val="35976320"/>
        <c:scaling>
          <c:orientation val="minMax"/>
        </c:scaling>
        <c:delete val="1"/>
        <c:axPos val="b"/>
        <c:numFmt formatCode="0.00%" sourceLinked="1"/>
        <c:majorTickMark val="out"/>
        <c:minorTickMark val="none"/>
        <c:tickLblPos val="none"/>
        <c:crossAx val="35974528"/>
        <c:crosses val="autoZero"/>
        <c:crossBetween val="between"/>
      </c:valAx>
    </c:plotArea>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3.6850930993796015E-2"/>
          <c:y val="7.0326119414713881E-2"/>
          <c:w val="0.91164507884437584"/>
          <c:h val="0.60618573875870296"/>
        </c:manualLayout>
      </c:layout>
      <c:barChart>
        <c:barDir val="col"/>
        <c:grouping val="stacked"/>
        <c:varyColors val="0"/>
        <c:ser>
          <c:idx val="0"/>
          <c:order val="0"/>
          <c:tx>
            <c:strRef>
              <c:f>корп!$A$17</c:f>
              <c:strCache>
                <c:ptCount val="1"/>
                <c:pt idx="0">
                  <c:v>корпоративный бизнес</c:v>
                </c:pt>
              </c:strCache>
            </c:strRef>
          </c:tx>
          <c:invertIfNegative val="0"/>
          <c:dPt>
            <c:idx val="2"/>
            <c:invertIfNegative val="0"/>
            <c:bubble3D val="0"/>
            <c:spPr>
              <a:solidFill>
                <a:srgbClr val="006C31"/>
              </a:solidFill>
            </c:spPr>
          </c:dPt>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корп!$B$16:$D$16</c:f>
              <c:numCache>
                <c:formatCode>@</c:formatCode>
                <c:ptCount val="3"/>
                <c:pt idx="0">
                  <c:v>2013</c:v>
                </c:pt>
                <c:pt idx="1">
                  <c:v>2014</c:v>
                </c:pt>
                <c:pt idx="2">
                  <c:v>2015</c:v>
                </c:pt>
              </c:numCache>
            </c:numRef>
          </c:cat>
          <c:val>
            <c:numRef>
              <c:f>корп!$B$17:$D$17</c:f>
              <c:numCache>
                <c:formatCode>_-* #,##0_р_._-;\-* #,##0_р_._-;_-* "-"??_р_._-;_-@_-</c:formatCode>
                <c:ptCount val="3"/>
                <c:pt idx="0">
                  <c:v>5111.8000353900006</c:v>
                </c:pt>
                <c:pt idx="1">
                  <c:v>6452.1811306100008</c:v>
                </c:pt>
                <c:pt idx="2">
                  <c:v>6974.45626154</c:v>
                </c:pt>
              </c:numCache>
            </c:numRef>
          </c:val>
        </c:ser>
        <c:ser>
          <c:idx val="1"/>
          <c:order val="1"/>
          <c:tx>
            <c:strRef>
              <c:f>корп!$A$18</c:f>
              <c:strCache>
                <c:ptCount val="1"/>
                <c:pt idx="0">
                  <c:v>МСП</c:v>
                </c:pt>
              </c:strCache>
            </c:strRef>
          </c:tx>
          <c:invertIfNegative val="0"/>
          <c:dPt>
            <c:idx val="2"/>
            <c:invertIfNegative val="0"/>
            <c:bubble3D val="0"/>
            <c:spPr>
              <a:solidFill>
                <a:srgbClr val="00B050"/>
              </a:solidFill>
            </c:spPr>
          </c:dPt>
          <c:dLbls>
            <c:dLbl>
              <c:idx val="0"/>
              <c:layout>
                <c:manualLayout>
                  <c:x val="1.5354377205672791E-17"/>
                  <c:y val="-3.1873184071970111E-3"/>
                </c:manualLayout>
              </c:layout>
              <c:dLblPos val="ctr"/>
              <c:showLegendKey val="0"/>
              <c:showVal val="1"/>
              <c:showCatName val="0"/>
              <c:showSerName val="0"/>
              <c:showPercent val="0"/>
              <c:showBubbleSize val="0"/>
            </c:dLbl>
            <c:dLbl>
              <c:idx val="1"/>
              <c:layout>
                <c:manualLayout>
                  <c:x val="6.1417508822691153E-17"/>
                  <c:y val="-6.1422387981353837E-3"/>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inBase"/>
            <c:showLegendKey val="0"/>
            <c:showVal val="1"/>
            <c:showCatName val="0"/>
            <c:showSerName val="0"/>
            <c:showPercent val="0"/>
            <c:showBubbleSize val="0"/>
            <c:showLeaderLines val="0"/>
          </c:dLbls>
          <c:cat>
            <c:numRef>
              <c:f>корп!$B$16:$D$16</c:f>
              <c:numCache>
                <c:formatCode>@</c:formatCode>
                <c:ptCount val="3"/>
                <c:pt idx="0">
                  <c:v>2013</c:v>
                </c:pt>
                <c:pt idx="1">
                  <c:v>2014</c:v>
                </c:pt>
                <c:pt idx="2">
                  <c:v>2015</c:v>
                </c:pt>
              </c:numCache>
            </c:numRef>
          </c:cat>
          <c:val>
            <c:numRef>
              <c:f>корп!$B$18:$D$18</c:f>
              <c:numCache>
                <c:formatCode>_-* #,##0_р_._-;\-* #,##0_р_._-;_-* "-"??_р_._-;_-@_-</c:formatCode>
                <c:ptCount val="3"/>
                <c:pt idx="0">
                  <c:v>3136.3013878499996</c:v>
                </c:pt>
                <c:pt idx="1">
                  <c:v>4816.3285354199998</c:v>
                </c:pt>
                <c:pt idx="2">
                  <c:v>3985.0286847699999</c:v>
                </c:pt>
              </c:numCache>
            </c:numRef>
          </c:val>
        </c:ser>
        <c:ser>
          <c:idx val="2"/>
          <c:order val="2"/>
          <c:tx>
            <c:strRef>
              <c:f>корп!$A$19</c:f>
              <c:strCache>
                <c:ptCount val="1"/>
                <c:pt idx="0">
                  <c:v>инвестиционные длительные проекты</c:v>
                </c:pt>
              </c:strCache>
            </c:strRef>
          </c:tx>
          <c:invertIfNegative val="0"/>
          <c:dPt>
            <c:idx val="2"/>
            <c:invertIfNegative val="0"/>
            <c:bubble3D val="0"/>
            <c:spPr>
              <a:solidFill>
                <a:srgbClr val="00E266"/>
              </a:solidFill>
            </c:spPr>
          </c:dPt>
          <c:dLbls>
            <c:dLbl>
              <c:idx val="2"/>
              <c:spPr/>
              <c:txPr>
                <a:bodyPr/>
                <a:lstStyle/>
                <a:p>
                  <a:pPr>
                    <a:defRPr b="1">
                      <a:solidFill>
                        <a:sysClr val="windowText" lastClr="000000"/>
                      </a:solidFill>
                    </a:defRPr>
                  </a:pPr>
                  <a:endParaRPr lang="ru-RU"/>
                </a:p>
              </c:txPr>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корп!$B$16:$D$16</c:f>
              <c:numCache>
                <c:formatCode>@</c:formatCode>
                <c:ptCount val="3"/>
                <c:pt idx="0">
                  <c:v>2013</c:v>
                </c:pt>
                <c:pt idx="1">
                  <c:v>2014</c:v>
                </c:pt>
                <c:pt idx="2">
                  <c:v>2015</c:v>
                </c:pt>
              </c:numCache>
            </c:numRef>
          </c:cat>
          <c:val>
            <c:numRef>
              <c:f>корп!$B$19:$D$19</c:f>
              <c:numCache>
                <c:formatCode>_-* #,##0_р_._-;\-* #,##0_р_._-;_-* "-"??_р_._-;_-@_-</c:formatCode>
                <c:ptCount val="3"/>
                <c:pt idx="0">
                  <c:v>4537.2651660399997</c:v>
                </c:pt>
                <c:pt idx="1">
                  <c:v>6132.2688398499995</c:v>
                </c:pt>
                <c:pt idx="2">
                  <c:v>7801.6368731599996</c:v>
                </c:pt>
              </c:numCache>
            </c:numRef>
          </c:val>
        </c:ser>
        <c:dLbls>
          <c:showLegendKey val="0"/>
          <c:showVal val="1"/>
          <c:showCatName val="0"/>
          <c:showSerName val="0"/>
          <c:showPercent val="0"/>
          <c:showBubbleSize val="0"/>
        </c:dLbls>
        <c:gapWidth val="150"/>
        <c:overlap val="100"/>
        <c:axId val="36045184"/>
        <c:axId val="36046720"/>
      </c:barChart>
      <c:catAx>
        <c:axId val="36045184"/>
        <c:scaling>
          <c:orientation val="minMax"/>
        </c:scaling>
        <c:delete val="0"/>
        <c:axPos val="b"/>
        <c:numFmt formatCode="@" sourceLinked="1"/>
        <c:majorTickMark val="out"/>
        <c:minorTickMark val="none"/>
        <c:tickLblPos val="nextTo"/>
        <c:txPr>
          <a:bodyPr/>
          <a:lstStyle/>
          <a:p>
            <a:pPr>
              <a:defRPr b="1"/>
            </a:pPr>
            <a:endParaRPr lang="ru-RU"/>
          </a:p>
        </c:txPr>
        <c:crossAx val="36046720"/>
        <c:crosses val="autoZero"/>
        <c:auto val="1"/>
        <c:lblAlgn val="ctr"/>
        <c:lblOffset val="100"/>
        <c:noMultiLvlLbl val="0"/>
      </c:catAx>
      <c:valAx>
        <c:axId val="36046720"/>
        <c:scaling>
          <c:orientation val="minMax"/>
        </c:scaling>
        <c:delete val="1"/>
        <c:axPos val="l"/>
        <c:numFmt formatCode="_-* #,##0_р_._-;\-* #,##0_р_._-;_-* &quot;-&quot;??_р_._-;_-@_-" sourceLinked="1"/>
        <c:majorTickMark val="out"/>
        <c:minorTickMark val="none"/>
        <c:tickLblPos val="none"/>
        <c:crossAx val="36045184"/>
        <c:crosses val="autoZero"/>
        <c:crossBetween val="between"/>
      </c:valAx>
    </c:plotArea>
    <c:legend>
      <c:legendPos val="r"/>
      <c:layout>
        <c:manualLayout>
          <c:xMode val="edge"/>
          <c:yMode val="edge"/>
          <c:x val="0"/>
          <c:y val="0.79852693671023078"/>
          <c:w val="0.98539982502187262"/>
          <c:h val="0.20147306328976919"/>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0.21917026949880603"/>
          <c:y val="2.3514815857994444E-3"/>
          <c:w val="0.45457238845144354"/>
          <c:h val="0.55166551996534419"/>
        </c:manualLayout>
      </c:layout>
      <c:doughnutChart>
        <c:varyColors val="1"/>
        <c:ser>
          <c:idx val="0"/>
          <c:order val="0"/>
          <c:dPt>
            <c:idx val="1"/>
            <c:bubble3D val="0"/>
            <c:spPr>
              <a:solidFill>
                <a:srgbClr val="006C31"/>
              </a:solidFill>
            </c:spPr>
          </c:dPt>
          <c:dPt>
            <c:idx val="2"/>
            <c:bubble3D val="0"/>
            <c:spPr>
              <a:solidFill>
                <a:srgbClr val="00B050"/>
              </a:solidFill>
            </c:spPr>
          </c:dPt>
          <c:dPt>
            <c:idx val="3"/>
            <c:bubble3D val="0"/>
            <c:spPr>
              <a:solidFill>
                <a:srgbClr val="00E266"/>
              </a:solidFill>
            </c:spPr>
          </c:dPt>
          <c:dPt>
            <c:idx val="4"/>
            <c:bubble3D val="0"/>
            <c:spPr>
              <a:solidFill>
                <a:srgbClr val="99FFCC"/>
              </a:solidFill>
            </c:spPr>
          </c:dPt>
          <c:dLbls>
            <c:dLbl>
              <c:idx val="0"/>
              <c:spPr/>
              <c:txPr>
                <a:bodyPr/>
                <a:lstStyle/>
                <a:p>
                  <a:pPr>
                    <a:defRPr>
                      <a:solidFill>
                        <a:schemeClr val="bg1"/>
                      </a:solidFill>
                    </a:defRPr>
                  </a:pPr>
                  <a:endParaRPr lang="ru-RU"/>
                </a:p>
              </c:txPr>
              <c:showLegendKey val="0"/>
              <c:showVal val="1"/>
              <c:showCatName val="0"/>
              <c:showSerName val="0"/>
              <c:showPercent val="0"/>
              <c:showBubbleSize val="0"/>
            </c:dLbl>
            <c:dLbl>
              <c:idx val="1"/>
              <c:spPr/>
              <c:txPr>
                <a:bodyPr/>
                <a:lstStyle/>
                <a:p>
                  <a:pPr>
                    <a:defRPr>
                      <a:solidFill>
                        <a:schemeClr val="bg1"/>
                      </a:solidFill>
                    </a:defRPr>
                  </a:pPr>
                  <a:endParaRPr lang="ru-RU"/>
                </a:p>
              </c:txPr>
              <c:showLegendKey val="0"/>
              <c:showVal val="1"/>
              <c:showCatName val="0"/>
              <c:showSerName val="0"/>
              <c:showPercent val="0"/>
              <c:showBubbleSize val="0"/>
            </c:dLbl>
            <c:dLbl>
              <c:idx val="2"/>
              <c:spPr/>
              <c:txPr>
                <a:bodyPr/>
                <a:lstStyle/>
                <a:p>
                  <a:pPr>
                    <a:defRPr>
                      <a:solidFill>
                        <a:schemeClr val="bg1"/>
                      </a:solidFill>
                    </a:defRPr>
                  </a:pPr>
                  <a:endParaRPr lang="ru-RU"/>
                </a:p>
              </c:txPr>
              <c:showLegendKey val="0"/>
              <c:showVal val="1"/>
              <c:showCatName val="0"/>
              <c:showSerName val="0"/>
              <c:showPercent val="0"/>
              <c:showBubbleSize val="0"/>
            </c:dLbl>
            <c:dLbl>
              <c:idx val="5"/>
              <c:spPr/>
              <c:txPr>
                <a:bodyPr/>
                <a:lstStyle/>
                <a:p>
                  <a:pPr>
                    <a:defRPr>
                      <a:solidFill>
                        <a:schemeClr val="bg1"/>
                      </a:solidFill>
                    </a:defRPr>
                  </a:pPr>
                  <a:endParaRPr lang="ru-RU"/>
                </a:p>
              </c:txPr>
              <c:showLegendKey val="0"/>
              <c:showVal val="1"/>
              <c:showCatName val="0"/>
              <c:showSerName val="0"/>
              <c:showPercent val="0"/>
              <c:showBubbleSize val="0"/>
            </c:dLbl>
            <c:dLbl>
              <c:idx val="6"/>
              <c:delete val="1"/>
            </c:dLbl>
            <c:dLbl>
              <c:idx val="7"/>
              <c:delete val="1"/>
            </c:dLbl>
            <c:dLbl>
              <c:idx val="8"/>
              <c:delete val="1"/>
            </c:dLbl>
            <c:dLbl>
              <c:idx val="9"/>
              <c:delete val="1"/>
            </c:dLbl>
            <c:dLbl>
              <c:idx val="10"/>
              <c:delete val="1"/>
            </c:dLbl>
            <c:showLegendKey val="0"/>
            <c:showVal val="1"/>
            <c:showCatName val="0"/>
            <c:showSerName val="0"/>
            <c:showPercent val="0"/>
            <c:showBubbleSize val="0"/>
            <c:showLeaderLines val="1"/>
          </c:dLbls>
          <c:cat>
            <c:strRef>
              <c:f>корп!$A$46:$A$56</c:f>
              <c:strCache>
                <c:ptCount val="11"/>
                <c:pt idx="0">
                  <c:v>Финансовое посредничество  </c:v>
                </c:pt>
                <c:pt idx="1">
                  <c:v>Недвижимость, аренда, предоставление услуг </c:v>
                </c:pt>
                <c:pt idx="2">
                  <c:v>Оптовая и розничная торговля, ремонт</c:v>
                </c:pt>
                <c:pt idx="3">
                  <c:v>Строительство </c:v>
                </c:pt>
                <c:pt idx="4">
                  <c:v>Организации отдыха и развлечений, культуры и спорта</c:v>
                </c:pt>
                <c:pt idx="5">
                  <c:v>Обрабатывающие производства</c:v>
                </c:pt>
                <c:pt idx="6">
                  <c:v>Деятельность гостиниц и ресторанов  </c:v>
                </c:pt>
                <c:pt idx="7">
                  <c:v>Рыболовство, рыбоводство и предоставление услуг в этих областях  </c:v>
                </c:pt>
                <c:pt idx="8">
                  <c:v> Транспорт и связь </c:v>
                </c:pt>
                <c:pt idx="9">
                  <c:v>На завершение расчетов </c:v>
                </c:pt>
                <c:pt idx="10">
                  <c:v>Прочие виды деятельности</c:v>
                </c:pt>
              </c:strCache>
            </c:strRef>
          </c:cat>
          <c:val>
            <c:numRef>
              <c:f>корп!$B$46:$B$56</c:f>
              <c:numCache>
                <c:formatCode>0.0%</c:formatCode>
                <c:ptCount val="11"/>
                <c:pt idx="0">
                  <c:v>0.24476543426844721</c:v>
                </c:pt>
                <c:pt idx="1">
                  <c:v>0.21933785934308678</c:v>
                </c:pt>
                <c:pt idx="2">
                  <c:v>0.18309044861378132</c:v>
                </c:pt>
                <c:pt idx="3">
                  <c:v>0.146982552669078</c:v>
                </c:pt>
                <c:pt idx="4">
                  <c:v>9.7483611538184592E-2</c:v>
                </c:pt>
                <c:pt idx="5">
                  <c:v>6.4938924878663373E-2</c:v>
                </c:pt>
                <c:pt idx="6">
                  <c:v>1.9821342160247137E-2</c:v>
                </c:pt>
                <c:pt idx="7">
                  <c:v>8.3748520662197748E-3</c:v>
                </c:pt>
                <c:pt idx="8">
                  <c:v>7.2894492459593318E-3</c:v>
                </c:pt>
                <c:pt idx="9">
                  <c:v>5.8484661145074331E-3</c:v>
                </c:pt>
                <c:pt idx="10">
                  <c:v>2.0670591018250432E-3</c:v>
                </c:pt>
              </c:numCache>
            </c:numRef>
          </c:val>
        </c:ser>
        <c:dLbls>
          <c:showLegendKey val="0"/>
          <c:showVal val="0"/>
          <c:showCatName val="0"/>
          <c:showSerName val="0"/>
          <c:showPercent val="0"/>
          <c:showBubbleSize val="0"/>
          <c:showLeaderLines val="1"/>
        </c:dLbls>
        <c:firstSliceAng val="0"/>
        <c:holeSize val="50"/>
      </c:doughnutChart>
    </c:plotArea>
    <c:legend>
      <c:legendPos val="r"/>
      <c:layout>
        <c:manualLayout>
          <c:xMode val="edge"/>
          <c:yMode val="edge"/>
          <c:x val="0"/>
          <c:y val="0.58121626786942893"/>
          <c:w val="1"/>
          <c:h val="0.41878373213057107"/>
        </c:manualLayout>
      </c:layout>
      <c:overlay val="0"/>
      <c:txPr>
        <a:bodyPr/>
        <a:lstStyle/>
        <a:p>
          <a:pPr>
            <a:defRPr sz="900"/>
          </a:pPr>
          <a:endParaRPr lang="ru-RU"/>
        </a:p>
      </c:txPr>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bar"/>
        <c:grouping val="stacked"/>
        <c:varyColors val="0"/>
        <c:ser>
          <c:idx val="0"/>
          <c:order val="0"/>
          <c:tx>
            <c:strRef>
              <c:f>Депозиты!$B$2</c:f>
              <c:strCache>
                <c:ptCount val="1"/>
                <c:pt idx="0">
                  <c:v>Депозиты</c:v>
                </c:pt>
              </c:strCache>
            </c:strRef>
          </c:tx>
          <c:invertIfNegative val="0"/>
          <c:dPt>
            <c:idx val="0"/>
            <c:invertIfNegative val="0"/>
            <c:bubble3D val="0"/>
            <c:spPr>
              <a:solidFill>
                <a:srgbClr val="00B050"/>
              </a:solidFill>
            </c:spPr>
          </c:dPt>
          <c:dLbls>
            <c:txPr>
              <a:bodyPr/>
              <a:lstStyle/>
              <a:p>
                <a:pPr>
                  <a:defRPr b="1"/>
                </a:pPr>
                <a:endParaRPr lang="ru-RU"/>
              </a:p>
            </c:txPr>
            <c:showLegendKey val="0"/>
            <c:showVal val="1"/>
            <c:showCatName val="0"/>
            <c:showSerName val="0"/>
            <c:showPercent val="0"/>
            <c:showBubbleSize val="0"/>
            <c:showLeaderLines val="0"/>
          </c:dLbls>
          <c:cat>
            <c:strRef>
              <c:f>Депозиты!$A$3:$A$5</c:f>
              <c:strCache>
                <c:ptCount val="3"/>
                <c:pt idx="0">
                  <c:v>2015</c:v>
                </c:pt>
                <c:pt idx="1">
                  <c:v>2014</c:v>
                </c:pt>
                <c:pt idx="2">
                  <c:v>2013</c:v>
                </c:pt>
              </c:strCache>
            </c:strRef>
          </c:cat>
          <c:val>
            <c:numRef>
              <c:f>Депозиты!$B$3:$B$5</c:f>
              <c:numCache>
                <c:formatCode>0.00%</c:formatCode>
                <c:ptCount val="3"/>
                <c:pt idx="0">
                  <c:v>3.0654293933365263E-2</c:v>
                </c:pt>
                <c:pt idx="1">
                  <c:v>2.5700000000000001E-2</c:v>
                </c:pt>
                <c:pt idx="2">
                  <c:v>2.52E-2</c:v>
                </c:pt>
              </c:numCache>
            </c:numRef>
          </c:val>
        </c:ser>
        <c:ser>
          <c:idx val="1"/>
          <c:order val="1"/>
          <c:tx>
            <c:strRef>
              <c:f>Депозиты!$C$2</c:f>
              <c:strCache>
                <c:ptCount val="1"/>
                <c:pt idx="0">
                  <c:v>Расчетные счета</c:v>
                </c:pt>
              </c:strCache>
            </c:strRef>
          </c:tx>
          <c:invertIfNegative val="0"/>
          <c:dPt>
            <c:idx val="0"/>
            <c:invertIfNegative val="0"/>
            <c:bubble3D val="0"/>
            <c:spPr>
              <a:solidFill>
                <a:srgbClr val="11FF7D"/>
              </a:solidFill>
            </c:spPr>
          </c:dPt>
          <c:dLbls>
            <c:txPr>
              <a:bodyPr/>
              <a:lstStyle/>
              <a:p>
                <a:pPr>
                  <a:defRPr b="1"/>
                </a:pPr>
                <a:endParaRPr lang="ru-RU"/>
              </a:p>
            </c:txPr>
            <c:showLegendKey val="0"/>
            <c:showVal val="1"/>
            <c:showCatName val="0"/>
            <c:showSerName val="0"/>
            <c:showPercent val="0"/>
            <c:showBubbleSize val="0"/>
            <c:showLeaderLines val="0"/>
          </c:dLbls>
          <c:cat>
            <c:strRef>
              <c:f>Депозиты!$A$3:$A$5</c:f>
              <c:strCache>
                <c:ptCount val="3"/>
                <c:pt idx="0">
                  <c:v>2015</c:v>
                </c:pt>
                <c:pt idx="1">
                  <c:v>2014</c:v>
                </c:pt>
                <c:pt idx="2">
                  <c:v>2013</c:v>
                </c:pt>
              </c:strCache>
            </c:strRef>
          </c:cat>
          <c:val>
            <c:numRef>
              <c:f>Депозиты!$C$3:$C$5</c:f>
              <c:numCache>
                <c:formatCode>0.00%</c:formatCode>
                <c:ptCount val="3"/>
                <c:pt idx="0">
                  <c:v>1.4965020631079348E-2</c:v>
                </c:pt>
                <c:pt idx="1">
                  <c:v>1.44E-2</c:v>
                </c:pt>
                <c:pt idx="2">
                  <c:v>1.5100000000000001E-2</c:v>
                </c:pt>
              </c:numCache>
            </c:numRef>
          </c:val>
        </c:ser>
        <c:dLbls>
          <c:showLegendKey val="0"/>
          <c:showVal val="0"/>
          <c:showCatName val="0"/>
          <c:showSerName val="0"/>
          <c:showPercent val="0"/>
          <c:showBubbleSize val="0"/>
        </c:dLbls>
        <c:gapWidth val="100"/>
        <c:overlap val="100"/>
        <c:axId val="36513280"/>
        <c:axId val="36514816"/>
      </c:barChart>
      <c:catAx>
        <c:axId val="36513280"/>
        <c:scaling>
          <c:orientation val="minMax"/>
        </c:scaling>
        <c:delete val="0"/>
        <c:axPos val="l"/>
        <c:majorTickMark val="out"/>
        <c:minorTickMark val="none"/>
        <c:tickLblPos val="nextTo"/>
        <c:txPr>
          <a:bodyPr/>
          <a:lstStyle/>
          <a:p>
            <a:pPr>
              <a:defRPr b="1">
                <a:solidFill>
                  <a:sysClr val="windowText" lastClr="000000"/>
                </a:solidFill>
              </a:defRPr>
            </a:pPr>
            <a:endParaRPr lang="ru-RU"/>
          </a:p>
        </c:txPr>
        <c:crossAx val="36514816"/>
        <c:crosses val="autoZero"/>
        <c:auto val="1"/>
        <c:lblAlgn val="ctr"/>
        <c:lblOffset val="100"/>
        <c:noMultiLvlLbl val="0"/>
      </c:catAx>
      <c:valAx>
        <c:axId val="36514816"/>
        <c:scaling>
          <c:orientation val="minMax"/>
        </c:scaling>
        <c:delete val="1"/>
        <c:axPos val="b"/>
        <c:numFmt formatCode="0.00%" sourceLinked="1"/>
        <c:majorTickMark val="out"/>
        <c:minorTickMark val="none"/>
        <c:tickLblPos val="nextTo"/>
        <c:crossAx val="36513280"/>
        <c:crosses val="autoZero"/>
        <c:crossBetween val="between"/>
      </c:valAx>
    </c:plotArea>
    <c:legend>
      <c:legendPos val="r"/>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col"/>
        <c:grouping val="stacked"/>
        <c:varyColors val="0"/>
        <c:ser>
          <c:idx val="0"/>
          <c:order val="0"/>
          <c:tx>
            <c:strRef>
              <c:f>Депозиты!$A$26</c:f>
              <c:strCache>
                <c:ptCount val="1"/>
                <c:pt idx="0">
                  <c:v>Расчетные счета</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Депозиты!$C$25:$E$25</c:f>
              <c:numCache>
                <c:formatCode>@</c:formatCode>
                <c:ptCount val="3"/>
                <c:pt idx="0">
                  <c:v>2013</c:v>
                </c:pt>
                <c:pt idx="1">
                  <c:v>2014</c:v>
                </c:pt>
                <c:pt idx="2">
                  <c:v>2015</c:v>
                </c:pt>
              </c:numCache>
            </c:numRef>
          </c:cat>
          <c:val>
            <c:numRef>
              <c:f>Депозиты!$C$26:$E$26</c:f>
              <c:numCache>
                <c:formatCode>_-* #,##0_р_._-;\-* #,##0_р_._-;_-* "-"??_р_._-;_-@_-</c:formatCode>
                <c:ptCount val="3"/>
                <c:pt idx="0">
                  <c:v>1472.6281763899999</c:v>
                </c:pt>
                <c:pt idx="1">
                  <c:v>1294.0759345000001</c:v>
                </c:pt>
                <c:pt idx="2">
                  <c:v>1608.4875402700002</c:v>
                </c:pt>
              </c:numCache>
            </c:numRef>
          </c:val>
        </c:ser>
        <c:ser>
          <c:idx val="1"/>
          <c:order val="1"/>
          <c:tx>
            <c:strRef>
              <c:f>Депозиты!$A$27</c:f>
              <c:strCache>
                <c:ptCount val="1"/>
                <c:pt idx="0">
                  <c:v>Депозиты</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Депозиты!$C$25:$E$25</c:f>
              <c:numCache>
                <c:formatCode>@</c:formatCode>
                <c:ptCount val="3"/>
                <c:pt idx="0">
                  <c:v>2013</c:v>
                </c:pt>
                <c:pt idx="1">
                  <c:v>2014</c:v>
                </c:pt>
                <c:pt idx="2">
                  <c:v>2015</c:v>
                </c:pt>
              </c:numCache>
            </c:numRef>
          </c:cat>
          <c:val>
            <c:numRef>
              <c:f>Депозиты!$C$27:$E$27</c:f>
              <c:numCache>
                <c:formatCode>_-* #,##0_р_._-;\-* #,##0_р_._-;_-* "-"??_р_._-;_-@_-</c:formatCode>
                <c:ptCount val="3"/>
                <c:pt idx="0">
                  <c:v>3241.1245865299993</c:v>
                </c:pt>
                <c:pt idx="1">
                  <c:v>5406.6406659699996</c:v>
                </c:pt>
                <c:pt idx="2">
                  <c:v>5542.342505820001</c:v>
                </c:pt>
              </c:numCache>
            </c:numRef>
          </c:val>
        </c:ser>
        <c:ser>
          <c:idx val="2"/>
          <c:order val="2"/>
          <c:tx>
            <c:strRef>
              <c:f>Депозиты!$A$28</c:f>
              <c:strCache>
                <c:ptCount val="1"/>
                <c:pt idx="0">
                  <c:v>Межбанковские  займы  МСП Банка</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Депозиты!$C$25:$E$25</c:f>
              <c:numCache>
                <c:formatCode>@</c:formatCode>
                <c:ptCount val="3"/>
                <c:pt idx="0">
                  <c:v>2013</c:v>
                </c:pt>
                <c:pt idx="1">
                  <c:v>2014</c:v>
                </c:pt>
                <c:pt idx="2">
                  <c:v>2015</c:v>
                </c:pt>
              </c:numCache>
            </c:numRef>
          </c:cat>
          <c:val>
            <c:numRef>
              <c:f>Депозиты!$C$28:$E$28</c:f>
              <c:numCache>
                <c:formatCode>_-* #,##0_р_._-;\-* #,##0_р_._-;_-* "-"??_р_._-;_-@_-</c:formatCode>
                <c:ptCount val="3"/>
                <c:pt idx="0">
                  <c:v>1217.3483455200001</c:v>
                </c:pt>
                <c:pt idx="1">
                  <c:v>990.31600716000003</c:v>
                </c:pt>
                <c:pt idx="2">
                  <c:v>841.13179315000002</c:v>
                </c:pt>
              </c:numCache>
            </c:numRef>
          </c:val>
        </c:ser>
        <c:ser>
          <c:idx val="3"/>
          <c:order val="3"/>
          <c:tx>
            <c:strRef>
              <c:f>Депозиты!$A$29</c:f>
              <c:strCache>
                <c:ptCount val="1"/>
                <c:pt idx="0">
                  <c:v>Кредиты Банка России 312-П</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numRef>
              <c:f>Депозиты!$C$25:$E$25</c:f>
              <c:numCache>
                <c:formatCode>@</c:formatCode>
                <c:ptCount val="3"/>
                <c:pt idx="0">
                  <c:v>2013</c:v>
                </c:pt>
                <c:pt idx="1">
                  <c:v>2014</c:v>
                </c:pt>
                <c:pt idx="2">
                  <c:v>2015</c:v>
                </c:pt>
              </c:numCache>
            </c:numRef>
          </c:cat>
          <c:val>
            <c:numRef>
              <c:f>Депозиты!$C$29:$E$29</c:f>
              <c:numCache>
                <c:formatCode>_-* #,##0_р_._-;\-* #,##0_р_._-;_-* "-"??_р_._-;_-@_-</c:formatCode>
                <c:ptCount val="3"/>
                <c:pt idx="0">
                  <c:v>186.785875</c:v>
                </c:pt>
                <c:pt idx="1">
                  <c:v>2744.4430000000002</c:v>
                </c:pt>
                <c:pt idx="2">
                  <c:v>1764.9</c:v>
                </c:pt>
              </c:numCache>
            </c:numRef>
          </c:val>
        </c:ser>
        <c:dLbls>
          <c:showLegendKey val="0"/>
          <c:showVal val="0"/>
          <c:showCatName val="0"/>
          <c:showSerName val="0"/>
          <c:showPercent val="0"/>
          <c:showBubbleSize val="0"/>
        </c:dLbls>
        <c:gapWidth val="150"/>
        <c:overlap val="100"/>
        <c:axId val="36551296"/>
        <c:axId val="36561280"/>
      </c:barChart>
      <c:catAx>
        <c:axId val="36551296"/>
        <c:scaling>
          <c:orientation val="minMax"/>
        </c:scaling>
        <c:delete val="0"/>
        <c:axPos val="b"/>
        <c:numFmt formatCode="@" sourceLinked="1"/>
        <c:majorTickMark val="out"/>
        <c:minorTickMark val="none"/>
        <c:tickLblPos val="nextTo"/>
        <c:txPr>
          <a:bodyPr/>
          <a:lstStyle/>
          <a:p>
            <a:pPr>
              <a:defRPr b="1"/>
            </a:pPr>
            <a:endParaRPr lang="ru-RU"/>
          </a:p>
        </c:txPr>
        <c:crossAx val="36561280"/>
        <c:crosses val="autoZero"/>
        <c:auto val="1"/>
        <c:lblAlgn val="ctr"/>
        <c:lblOffset val="100"/>
        <c:noMultiLvlLbl val="0"/>
      </c:catAx>
      <c:valAx>
        <c:axId val="36561280"/>
        <c:scaling>
          <c:orientation val="minMax"/>
        </c:scaling>
        <c:delete val="1"/>
        <c:axPos val="l"/>
        <c:numFmt formatCode="_-* #,##0_р_._-;\-* #,##0_р_._-;_-* &quot;-&quot;??_р_._-;_-@_-" sourceLinked="1"/>
        <c:majorTickMark val="out"/>
        <c:minorTickMark val="none"/>
        <c:tickLblPos val="nextTo"/>
        <c:crossAx val="36551296"/>
        <c:crosses val="autoZero"/>
        <c:crossBetween val="between"/>
      </c:valAx>
      <c:spPr>
        <a:ln>
          <a:noFill/>
        </a:ln>
      </c:spPr>
    </c:plotArea>
    <c:legend>
      <c:legendPos val="b"/>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userShapes r:id="rId2"/>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col"/>
        <c:grouping val="clustered"/>
        <c:varyColors val="0"/>
        <c:ser>
          <c:idx val="0"/>
          <c:order val="0"/>
          <c:tx>
            <c:strRef>
              <c:f>Депозиты!$A$50</c:f>
              <c:strCache>
                <c:ptCount val="1"/>
                <c:pt idx="0">
                  <c:v>Количество клиентов, подключенных к ДБО</c:v>
                </c:pt>
              </c:strCache>
            </c:strRef>
          </c:tx>
          <c:invertIfNegative val="0"/>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Депозиты!$C$49:$E$49</c:f>
              <c:numCache>
                <c:formatCode>@</c:formatCode>
                <c:ptCount val="3"/>
                <c:pt idx="0">
                  <c:v>2013</c:v>
                </c:pt>
                <c:pt idx="1">
                  <c:v>2014</c:v>
                </c:pt>
                <c:pt idx="2">
                  <c:v>2015</c:v>
                </c:pt>
              </c:numCache>
            </c:numRef>
          </c:cat>
          <c:val>
            <c:numRef>
              <c:f>Депозиты!$C$50:$E$50</c:f>
              <c:numCache>
                <c:formatCode>#,##0</c:formatCode>
                <c:ptCount val="3"/>
                <c:pt idx="0">
                  <c:v>3318</c:v>
                </c:pt>
                <c:pt idx="1">
                  <c:v>4195</c:v>
                </c:pt>
                <c:pt idx="2">
                  <c:v>4795</c:v>
                </c:pt>
              </c:numCache>
            </c:numRef>
          </c:val>
        </c:ser>
        <c:dLbls>
          <c:showLegendKey val="0"/>
          <c:showVal val="0"/>
          <c:showCatName val="0"/>
          <c:showSerName val="0"/>
          <c:showPercent val="0"/>
          <c:showBubbleSize val="0"/>
        </c:dLbls>
        <c:gapWidth val="150"/>
        <c:axId val="36605312"/>
        <c:axId val="36611200"/>
      </c:barChart>
      <c:lineChart>
        <c:grouping val="standard"/>
        <c:varyColors val="0"/>
        <c:ser>
          <c:idx val="1"/>
          <c:order val="1"/>
          <c:tx>
            <c:strRef>
              <c:f>Депозиты!$A$51</c:f>
              <c:strCache>
                <c:ptCount val="1"/>
                <c:pt idx="0">
                  <c:v>Доля подключенных к ДБО расчетных счетов, %</c:v>
                </c:pt>
              </c:strCache>
            </c:strRef>
          </c:tx>
          <c:spPr>
            <a:ln>
              <a:solidFill>
                <a:srgbClr val="00B050"/>
              </a:solidFill>
            </a:ln>
          </c:spPr>
          <c:marker>
            <c:symbol val="circle"/>
            <c:size val="5"/>
            <c:spPr>
              <a:solidFill>
                <a:srgbClr val="00B050"/>
              </a:solidFill>
            </c:spPr>
          </c:marker>
          <c:dLbls>
            <c:txPr>
              <a:bodyPr/>
              <a:lstStyle/>
              <a:p>
                <a:pPr>
                  <a:defRPr b="1"/>
                </a:pPr>
                <a:endParaRPr lang="ru-RU"/>
              </a:p>
            </c:txPr>
            <c:dLblPos val="t"/>
            <c:showLegendKey val="0"/>
            <c:showVal val="1"/>
            <c:showCatName val="0"/>
            <c:showSerName val="0"/>
            <c:showPercent val="0"/>
            <c:showBubbleSize val="0"/>
            <c:showLeaderLines val="0"/>
          </c:dLbls>
          <c:cat>
            <c:numRef>
              <c:f>Депозиты!$C$49:$E$49</c:f>
              <c:numCache>
                <c:formatCode>@</c:formatCode>
                <c:ptCount val="3"/>
                <c:pt idx="0">
                  <c:v>2013</c:v>
                </c:pt>
                <c:pt idx="1">
                  <c:v>2014</c:v>
                </c:pt>
                <c:pt idx="2">
                  <c:v>2015</c:v>
                </c:pt>
              </c:numCache>
            </c:numRef>
          </c:cat>
          <c:val>
            <c:numRef>
              <c:f>Депозиты!$C$51:$E$51</c:f>
              <c:numCache>
                <c:formatCode>0.0%</c:formatCode>
                <c:ptCount val="3"/>
                <c:pt idx="0">
                  <c:v>0.58006993006993002</c:v>
                </c:pt>
                <c:pt idx="1">
                  <c:v>0.63158687142426984</c:v>
                </c:pt>
                <c:pt idx="2">
                  <c:v>0.71364786426551574</c:v>
                </c:pt>
              </c:numCache>
            </c:numRef>
          </c:val>
          <c:smooth val="0"/>
        </c:ser>
        <c:dLbls>
          <c:showLegendKey val="0"/>
          <c:showVal val="0"/>
          <c:showCatName val="0"/>
          <c:showSerName val="0"/>
          <c:showPercent val="0"/>
          <c:showBubbleSize val="0"/>
        </c:dLbls>
        <c:marker val="1"/>
        <c:smooth val="0"/>
        <c:axId val="36614528"/>
        <c:axId val="36612736"/>
      </c:lineChart>
      <c:catAx>
        <c:axId val="36605312"/>
        <c:scaling>
          <c:orientation val="minMax"/>
        </c:scaling>
        <c:delete val="0"/>
        <c:axPos val="b"/>
        <c:numFmt formatCode="@" sourceLinked="1"/>
        <c:majorTickMark val="out"/>
        <c:minorTickMark val="none"/>
        <c:tickLblPos val="nextTo"/>
        <c:txPr>
          <a:bodyPr/>
          <a:lstStyle/>
          <a:p>
            <a:pPr>
              <a:defRPr b="1"/>
            </a:pPr>
            <a:endParaRPr lang="ru-RU"/>
          </a:p>
        </c:txPr>
        <c:crossAx val="36611200"/>
        <c:crosses val="autoZero"/>
        <c:auto val="1"/>
        <c:lblAlgn val="ctr"/>
        <c:lblOffset val="100"/>
        <c:noMultiLvlLbl val="0"/>
      </c:catAx>
      <c:valAx>
        <c:axId val="36611200"/>
        <c:scaling>
          <c:orientation val="minMax"/>
        </c:scaling>
        <c:delete val="0"/>
        <c:axPos val="l"/>
        <c:numFmt formatCode="#,##0" sourceLinked="1"/>
        <c:majorTickMark val="none"/>
        <c:minorTickMark val="none"/>
        <c:tickLblPos val="none"/>
        <c:crossAx val="36605312"/>
        <c:crosses val="autoZero"/>
        <c:crossBetween val="between"/>
      </c:valAx>
      <c:valAx>
        <c:axId val="36612736"/>
        <c:scaling>
          <c:orientation val="minMax"/>
        </c:scaling>
        <c:delete val="0"/>
        <c:axPos val="r"/>
        <c:numFmt formatCode="0.0%" sourceLinked="1"/>
        <c:majorTickMark val="none"/>
        <c:minorTickMark val="none"/>
        <c:tickLblPos val="none"/>
        <c:spPr>
          <a:noFill/>
          <a:ln>
            <a:noFill/>
          </a:ln>
        </c:spPr>
        <c:crossAx val="36614528"/>
        <c:crosses val="max"/>
        <c:crossBetween val="between"/>
      </c:valAx>
      <c:catAx>
        <c:axId val="36614528"/>
        <c:scaling>
          <c:orientation val="minMax"/>
        </c:scaling>
        <c:delete val="1"/>
        <c:axPos val="b"/>
        <c:numFmt formatCode="@" sourceLinked="1"/>
        <c:majorTickMark val="out"/>
        <c:minorTickMark val="none"/>
        <c:tickLblPos val="nextTo"/>
        <c:crossAx val="36612736"/>
        <c:crosses val="autoZero"/>
        <c:auto val="1"/>
        <c:lblAlgn val="ctr"/>
        <c:lblOffset val="100"/>
        <c:noMultiLvlLbl val="0"/>
      </c:catAx>
    </c:plotArea>
    <c:legend>
      <c:legendPos val="r"/>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layout/>
      <c:overlay val="0"/>
      <c:txPr>
        <a:bodyPr/>
        <a:lstStyle/>
        <a:p>
          <a:pPr>
            <a:defRPr sz="1400"/>
          </a:pPr>
          <a:endParaRPr lang="ru-RU"/>
        </a:p>
      </c:txPr>
    </c:title>
    <c:autoTitleDeleted val="0"/>
    <c:plotArea>
      <c:layout/>
      <c:barChart>
        <c:barDir val="bar"/>
        <c:grouping val="clustered"/>
        <c:varyColors val="1"/>
        <c:ser>
          <c:idx val="0"/>
          <c:order val="0"/>
          <c:tx>
            <c:strRef>
              <c:f>Лист1!$A$28</c:f>
              <c:strCache>
                <c:ptCount val="1"/>
                <c:pt idx="0">
                  <c:v>ЧОД на одного сотрудника</c:v>
                </c:pt>
              </c:strCache>
            </c:strRef>
          </c:tx>
          <c:invertIfNegative val="0"/>
          <c:dPt>
            <c:idx val="0"/>
            <c:invertIfNegative val="0"/>
            <c:bubble3D val="0"/>
            <c:spPr>
              <a:solidFill>
                <a:srgbClr val="00B050"/>
              </a:solidFill>
            </c:spPr>
          </c:dPt>
          <c:dLbls>
            <c:txPr>
              <a:bodyPr/>
              <a:lstStyle/>
              <a:p>
                <a:pPr>
                  <a:defRPr sz="1200" b="1" i="0"/>
                </a:pPr>
                <a:endParaRPr lang="ru-RU"/>
              </a:p>
            </c:txPr>
            <c:showLegendKey val="0"/>
            <c:showVal val="1"/>
            <c:showCatName val="0"/>
            <c:showSerName val="0"/>
            <c:showPercent val="0"/>
            <c:showBubbleSize val="0"/>
            <c:showLeaderLines val="0"/>
          </c:dLbls>
          <c:cat>
            <c:numRef>
              <c:f>Лист1!$B$21:$D$21</c:f>
              <c:numCache>
                <c:formatCode>General</c:formatCode>
                <c:ptCount val="3"/>
                <c:pt idx="0">
                  <c:v>2015</c:v>
                </c:pt>
                <c:pt idx="1">
                  <c:v>2014</c:v>
                </c:pt>
                <c:pt idx="2">
                  <c:v>2013</c:v>
                </c:pt>
              </c:numCache>
            </c:numRef>
          </c:cat>
          <c:val>
            <c:numRef>
              <c:f>Лист1!$B$28:$D$28</c:f>
              <c:numCache>
                <c:formatCode>0.00</c:formatCode>
                <c:ptCount val="3"/>
                <c:pt idx="0">
                  <c:v>2.141127811495894</c:v>
                </c:pt>
                <c:pt idx="1">
                  <c:v>1.635762491153574</c:v>
                </c:pt>
                <c:pt idx="2">
                  <c:v>1.7401993725490197</c:v>
                </c:pt>
              </c:numCache>
            </c:numRef>
          </c:val>
        </c:ser>
        <c:dLbls>
          <c:showLegendKey val="0"/>
          <c:showVal val="0"/>
          <c:showCatName val="0"/>
          <c:showSerName val="0"/>
          <c:showPercent val="0"/>
          <c:showBubbleSize val="0"/>
        </c:dLbls>
        <c:gapWidth val="150"/>
        <c:axId val="93715456"/>
        <c:axId val="94262016"/>
      </c:barChart>
      <c:catAx>
        <c:axId val="93715456"/>
        <c:scaling>
          <c:orientation val="minMax"/>
        </c:scaling>
        <c:delete val="0"/>
        <c:axPos val="l"/>
        <c:numFmt formatCode="General" sourceLinked="1"/>
        <c:majorTickMark val="none"/>
        <c:minorTickMark val="none"/>
        <c:tickLblPos val="nextTo"/>
        <c:txPr>
          <a:bodyPr/>
          <a:lstStyle/>
          <a:p>
            <a:pPr>
              <a:defRPr sz="1200" b="1"/>
            </a:pPr>
            <a:endParaRPr lang="ru-RU"/>
          </a:p>
        </c:txPr>
        <c:crossAx val="94262016"/>
        <c:crosses val="autoZero"/>
        <c:auto val="1"/>
        <c:lblAlgn val="ctr"/>
        <c:lblOffset val="100"/>
        <c:noMultiLvlLbl val="0"/>
      </c:catAx>
      <c:valAx>
        <c:axId val="94262016"/>
        <c:scaling>
          <c:orientation val="minMax"/>
        </c:scaling>
        <c:delete val="1"/>
        <c:axPos val="b"/>
        <c:numFmt formatCode="0.00" sourceLinked="1"/>
        <c:majorTickMark val="out"/>
        <c:minorTickMark val="none"/>
        <c:tickLblPos val="nextTo"/>
        <c:crossAx val="93715456"/>
        <c:crosses val="autoZero"/>
        <c:crossBetween val="between"/>
      </c:valAx>
    </c:plotArea>
    <c:plotVisOnly val="1"/>
    <c:dispBlanksAs val="gap"/>
    <c:showDLblsOverMax val="0"/>
  </c:chart>
  <c:spPr>
    <a:noFill/>
    <a:ln>
      <a:noFill/>
    </a:ln>
  </c:spPr>
  <c:txPr>
    <a:bodyPr/>
    <a:lstStyle/>
    <a:p>
      <a:pPr>
        <a:defRPr>
          <a:latin typeface="Georgia" panose="02040502050405020303" pitchFamily="18" charset="0"/>
        </a:defRPr>
      </a:pPr>
      <a:endParaRPr lang="ru-RU"/>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3.6850983514701112E-2"/>
          <c:y val="2.1423783565515829E-3"/>
          <c:w val="0.93667659520088076"/>
          <c:h val="0.66882726615694776"/>
        </c:manualLayout>
      </c:layout>
      <c:barChart>
        <c:barDir val="col"/>
        <c:grouping val="stacked"/>
        <c:varyColors val="0"/>
        <c:ser>
          <c:idx val="0"/>
          <c:order val="0"/>
          <c:tx>
            <c:strRef>
              <c:f>казн!$A$2</c:f>
              <c:strCache>
                <c:ptCount val="1"/>
                <c:pt idx="0">
                  <c:v>вложения в ценные бумаги (с учетом переоценки)</c:v>
                </c:pt>
              </c:strCache>
            </c:strRef>
          </c:tx>
          <c:invertIfNegative val="0"/>
          <c:dPt>
            <c:idx val="2"/>
            <c:invertIfNegative val="0"/>
            <c:bubble3D val="0"/>
            <c:spPr>
              <a:solidFill>
                <a:srgbClr val="006C31"/>
              </a:solidFill>
            </c:spPr>
          </c:dPt>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казн!$B$1:$D$1</c:f>
              <c:strCache>
                <c:ptCount val="3"/>
                <c:pt idx="0">
                  <c:v>2013</c:v>
                </c:pt>
                <c:pt idx="1">
                  <c:v>2014</c:v>
                </c:pt>
                <c:pt idx="2">
                  <c:v>2015</c:v>
                </c:pt>
              </c:strCache>
            </c:strRef>
          </c:cat>
          <c:val>
            <c:numRef>
              <c:f>казн!$B$2:$D$2</c:f>
              <c:numCache>
                <c:formatCode>_-* #,##0_р_._-;\-* #,##0_р_._-;_-* "-"??_р_._-;_-@_-</c:formatCode>
                <c:ptCount val="3"/>
                <c:pt idx="0">
                  <c:v>4096.6592444799999</c:v>
                </c:pt>
                <c:pt idx="1">
                  <c:v>4115.0484484500003</c:v>
                </c:pt>
                <c:pt idx="2">
                  <c:v>4167.3942514199998</c:v>
                </c:pt>
              </c:numCache>
            </c:numRef>
          </c:val>
        </c:ser>
        <c:ser>
          <c:idx val="1"/>
          <c:order val="1"/>
          <c:tx>
            <c:strRef>
              <c:f>казн!$A$3</c:f>
              <c:strCache>
                <c:ptCount val="1"/>
                <c:pt idx="0">
                  <c:v>средства на корсчетах "ностро"</c:v>
                </c:pt>
              </c:strCache>
            </c:strRef>
          </c:tx>
          <c:invertIfNegative val="0"/>
          <c:dPt>
            <c:idx val="2"/>
            <c:invertIfNegative val="0"/>
            <c:bubble3D val="0"/>
            <c:spPr>
              <a:solidFill>
                <a:srgbClr val="00B050"/>
              </a:solidFill>
            </c:spPr>
          </c:dPt>
          <c:dLbls>
            <c:dLbl>
              <c:idx val="0"/>
              <c:layout>
                <c:manualLayout>
                  <c:x val="0"/>
                  <c:y val="1.2983377077865267E-2"/>
                </c:manualLayout>
              </c:layout>
              <c:dLblPos val="ctr"/>
              <c:showLegendKey val="0"/>
              <c:showVal val="1"/>
              <c:showCatName val="0"/>
              <c:showSerName val="0"/>
              <c:showPercent val="0"/>
              <c:showBubbleSize val="0"/>
            </c:dLbl>
            <c:dLbl>
              <c:idx val="1"/>
              <c:layout>
                <c:manualLayout>
                  <c:x val="6.1417508822691289E-17"/>
                  <c:y val="-6.1422387981353863E-3"/>
                </c:manualLayout>
              </c:layout>
              <c:dLblPos val="ctr"/>
              <c:showLegendKey val="0"/>
              <c:showVal val="1"/>
              <c:showCatName val="0"/>
              <c:showSerName val="0"/>
              <c:showPercent val="0"/>
              <c:showBubbleSize val="0"/>
            </c:dLbl>
            <c:dLbl>
              <c:idx val="2"/>
              <c:layout>
                <c:manualLayout>
                  <c:x val="0"/>
                  <c:y val="-9.5905795996732383E-3"/>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inBase"/>
            <c:showLegendKey val="0"/>
            <c:showVal val="1"/>
            <c:showCatName val="0"/>
            <c:showSerName val="0"/>
            <c:showPercent val="0"/>
            <c:showBubbleSize val="0"/>
            <c:showLeaderLines val="0"/>
          </c:dLbls>
          <c:cat>
            <c:strRef>
              <c:f>казн!$B$1:$D$1</c:f>
              <c:strCache>
                <c:ptCount val="3"/>
                <c:pt idx="0">
                  <c:v>2013</c:v>
                </c:pt>
                <c:pt idx="1">
                  <c:v>2014</c:v>
                </c:pt>
                <c:pt idx="2">
                  <c:v>2015</c:v>
                </c:pt>
              </c:strCache>
            </c:strRef>
          </c:cat>
          <c:val>
            <c:numRef>
              <c:f>казн!$B$3:$D$3</c:f>
              <c:numCache>
                <c:formatCode>_-* #,##0_р_._-;\-* #,##0_р_._-;_-* "-"??_р_._-;_-@_-</c:formatCode>
                <c:ptCount val="3"/>
                <c:pt idx="0">
                  <c:v>302.47393292999999</c:v>
                </c:pt>
                <c:pt idx="1">
                  <c:v>444.94132660999998</c:v>
                </c:pt>
                <c:pt idx="2">
                  <c:v>467.98672117000001</c:v>
                </c:pt>
              </c:numCache>
            </c:numRef>
          </c:val>
        </c:ser>
        <c:ser>
          <c:idx val="2"/>
          <c:order val="2"/>
          <c:tx>
            <c:strRef>
              <c:f>казн!$A$4</c:f>
              <c:strCache>
                <c:ptCount val="1"/>
                <c:pt idx="0">
                  <c:v>межбанковские кредиты</c:v>
                </c:pt>
              </c:strCache>
            </c:strRef>
          </c:tx>
          <c:invertIfNegative val="0"/>
          <c:dPt>
            <c:idx val="2"/>
            <c:invertIfNegative val="0"/>
            <c:bubble3D val="0"/>
            <c:spPr>
              <a:solidFill>
                <a:srgbClr val="00E266"/>
              </a:solidFill>
            </c:spPr>
          </c:dPt>
          <c:dLbls>
            <c:dLbl>
              <c:idx val="0"/>
              <c:layout>
                <c:manualLayout>
                  <c:x val="0"/>
                  <c:y val="-3.6131081440906841E-2"/>
                </c:manualLayout>
              </c:layout>
              <c:dLblPos val="ctr"/>
              <c:showLegendKey val="0"/>
              <c:showVal val="1"/>
              <c:showCatName val="0"/>
              <c:showSerName val="0"/>
              <c:showPercent val="0"/>
              <c:showBubbleSize val="0"/>
            </c:dLbl>
            <c:dLbl>
              <c:idx val="1"/>
              <c:layout>
                <c:manualLayout>
                  <c:x val="-6.1417508822690907E-17"/>
                  <c:y val="-1.5968058852984121E-2"/>
                </c:manualLayout>
              </c:layout>
              <c:dLblPos val="ctr"/>
              <c:showLegendKey val="0"/>
              <c:showVal val="1"/>
              <c:showCatName val="0"/>
              <c:showSerName val="0"/>
              <c:showPercent val="0"/>
              <c:showBubbleSize val="0"/>
            </c:dLbl>
            <c:dLbl>
              <c:idx val="2"/>
              <c:layout>
                <c:manualLayout>
                  <c:x val="9.155116877677298E-17"/>
                  <c:y val="-2.8985507246376791E-2"/>
                </c:manualLayout>
              </c:layout>
              <c:dLblPos val="ctr"/>
              <c:showLegendKey val="0"/>
              <c:showVal val="1"/>
              <c:showCatName val="0"/>
              <c:showSerName val="0"/>
              <c:showPercent val="0"/>
              <c:showBubbleSize val="0"/>
            </c:dLbl>
            <c:txPr>
              <a:bodyPr/>
              <a:lstStyle/>
              <a:p>
                <a:pPr>
                  <a:defRPr b="1">
                    <a:solidFill>
                      <a:sysClr val="windowText" lastClr="000000"/>
                    </a:solidFill>
                  </a:defRPr>
                </a:pPr>
                <a:endParaRPr lang="ru-RU"/>
              </a:p>
            </c:txPr>
            <c:dLblPos val="ctr"/>
            <c:showLegendKey val="0"/>
            <c:showVal val="1"/>
            <c:showCatName val="0"/>
            <c:showSerName val="0"/>
            <c:showPercent val="0"/>
            <c:showBubbleSize val="0"/>
            <c:showLeaderLines val="0"/>
          </c:dLbls>
          <c:cat>
            <c:strRef>
              <c:f>казн!$B$1:$D$1</c:f>
              <c:strCache>
                <c:ptCount val="3"/>
                <c:pt idx="0">
                  <c:v>2013</c:v>
                </c:pt>
                <c:pt idx="1">
                  <c:v>2014</c:v>
                </c:pt>
                <c:pt idx="2">
                  <c:v>2015</c:v>
                </c:pt>
              </c:strCache>
            </c:strRef>
          </c:cat>
          <c:val>
            <c:numRef>
              <c:f>казн!$B$4:$D$4</c:f>
              <c:numCache>
                <c:formatCode>_-* #,##0_р_._-;\-* #,##0_р_._-;_-* "-"??_р_._-;_-@_-</c:formatCode>
                <c:ptCount val="3"/>
                <c:pt idx="0">
                  <c:v>149.09278635999999</c:v>
                </c:pt>
                <c:pt idx="1">
                  <c:v>1354.85538</c:v>
                </c:pt>
                <c:pt idx="2">
                  <c:v>329.77225984</c:v>
                </c:pt>
              </c:numCache>
            </c:numRef>
          </c:val>
        </c:ser>
        <c:dLbls>
          <c:showLegendKey val="0"/>
          <c:showVal val="1"/>
          <c:showCatName val="0"/>
          <c:showSerName val="0"/>
          <c:showPercent val="0"/>
          <c:showBubbleSize val="0"/>
        </c:dLbls>
        <c:gapWidth val="150"/>
        <c:overlap val="100"/>
        <c:axId val="36667776"/>
        <c:axId val="36669312"/>
      </c:barChart>
      <c:catAx>
        <c:axId val="36667776"/>
        <c:scaling>
          <c:orientation val="minMax"/>
        </c:scaling>
        <c:delete val="0"/>
        <c:axPos val="b"/>
        <c:numFmt formatCode="@" sourceLinked="1"/>
        <c:majorTickMark val="out"/>
        <c:minorTickMark val="none"/>
        <c:tickLblPos val="nextTo"/>
        <c:txPr>
          <a:bodyPr/>
          <a:lstStyle/>
          <a:p>
            <a:pPr>
              <a:defRPr b="1"/>
            </a:pPr>
            <a:endParaRPr lang="ru-RU"/>
          </a:p>
        </c:txPr>
        <c:crossAx val="36669312"/>
        <c:crosses val="autoZero"/>
        <c:auto val="1"/>
        <c:lblAlgn val="ctr"/>
        <c:lblOffset val="100"/>
        <c:noMultiLvlLbl val="0"/>
      </c:catAx>
      <c:valAx>
        <c:axId val="36669312"/>
        <c:scaling>
          <c:orientation val="minMax"/>
        </c:scaling>
        <c:delete val="1"/>
        <c:axPos val="l"/>
        <c:numFmt formatCode="_-* #,##0_р_._-;\-* #,##0_р_._-;_-* &quot;-&quot;??_р_._-;_-@_-" sourceLinked="1"/>
        <c:majorTickMark val="out"/>
        <c:minorTickMark val="none"/>
        <c:tickLblPos val="none"/>
        <c:crossAx val="36667776"/>
        <c:crosses val="autoZero"/>
        <c:crossBetween val="between"/>
      </c:valAx>
    </c:plotArea>
    <c:legend>
      <c:legendPos val="r"/>
      <c:layout>
        <c:manualLayout>
          <c:xMode val="edge"/>
          <c:yMode val="edge"/>
          <c:x val="0.21473158551810237"/>
          <c:y val="0.77060818569553802"/>
          <c:w val="0.71573682503170255"/>
          <c:h val="0.22939181430446196"/>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3.8948878905047404E-2"/>
          <c:y val="3.0877933736543801E-2"/>
          <c:w val="0.91164507884437662"/>
          <c:h val="0.63640686218570508"/>
        </c:manualLayout>
      </c:layout>
      <c:barChart>
        <c:barDir val="col"/>
        <c:grouping val="stacked"/>
        <c:varyColors val="0"/>
        <c:ser>
          <c:idx val="0"/>
          <c:order val="0"/>
          <c:tx>
            <c:strRef>
              <c:f>казн!$A$23</c:f>
              <c:strCache>
                <c:ptCount val="1"/>
                <c:pt idx="0">
                  <c:v>Государственные долговые обязательства</c:v>
                </c:pt>
              </c:strCache>
            </c:strRef>
          </c:tx>
          <c:invertIfNegative val="0"/>
          <c:dPt>
            <c:idx val="2"/>
            <c:invertIfNegative val="0"/>
            <c:bubble3D val="0"/>
            <c:spPr>
              <a:solidFill>
                <a:srgbClr val="00421E"/>
              </a:solidFill>
            </c:spPr>
          </c:dPt>
          <c:dLbls>
            <c:dLbl>
              <c:idx val="0"/>
              <c:layout>
                <c:manualLayout>
                  <c:x val="0"/>
                  <c:y val="-9.2915214866434379E-3"/>
                </c:manualLayout>
              </c:layout>
              <c:dLblPos val="ctr"/>
              <c:showLegendKey val="0"/>
              <c:showVal val="1"/>
              <c:showCatName val="0"/>
              <c:showSerName val="0"/>
              <c:showPercent val="0"/>
              <c:showBubbleSize val="0"/>
            </c:dLbl>
            <c:dLbl>
              <c:idx val="2"/>
              <c:layout>
                <c:manualLayout>
                  <c:x val="0"/>
                  <c:y val="-2.4154589371980589E-2"/>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казн!$B$23:$D$23</c:f>
              <c:numCache>
                <c:formatCode>_-* #,##0_р_._-;\-* #,##0_р_._-;_-* "-"??_р_._-;_-@_-</c:formatCode>
                <c:ptCount val="3"/>
                <c:pt idx="0">
                  <c:v>182.28545737000002</c:v>
                </c:pt>
                <c:pt idx="1">
                  <c:v>789.40637920999995</c:v>
                </c:pt>
                <c:pt idx="2">
                  <c:v>11.035</c:v>
                </c:pt>
              </c:numCache>
            </c:numRef>
          </c:val>
        </c:ser>
        <c:ser>
          <c:idx val="1"/>
          <c:order val="1"/>
          <c:tx>
            <c:strRef>
              <c:f>казн!$A$24</c:f>
              <c:strCache>
                <c:ptCount val="1"/>
                <c:pt idx="0">
                  <c:v>Корпоративные долговые обязательства</c:v>
                </c:pt>
              </c:strCache>
            </c:strRef>
          </c:tx>
          <c:invertIfNegative val="0"/>
          <c:dPt>
            <c:idx val="2"/>
            <c:invertIfNegative val="0"/>
            <c:bubble3D val="0"/>
            <c:spPr>
              <a:solidFill>
                <a:srgbClr val="006C31"/>
              </a:solidFill>
            </c:spPr>
          </c:dPt>
          <c:dLbls>
            <c:dLbl>
              <c:idx val="2"/>
              <c:layout>
                <c:manualLayout>
                  <c:x val="1.0080066830267376E-16"/>
                  <c:y val="-2.4154589371980676E-2"/>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казн!$B$24:$D$24</c:f>
              <c:numCache>
                <c:formatCode>_-* #,##0_р_._-;\-* #,##0_р_._-;_-* "-"??_р_._-;_-@_-</c:formatCode>
                <c:ptCount val="3"/>
                <c:pt idx="0">
                  <c:v>776.02327891999994</c:v>
                </c:pt>
                <c:pt idx="1">
                  <c:v>507.79361905999997</c:v>
                </c:pt>
                <c:pt idx="2">
                  <c:v>678.23707506999995</c:v>
                </c:pt>
              </c:numCache>
            </c:numRef>
          </c:val>
        </c:ser>
        <c:ser>
          <c:idx val="2"/>
          <c:order val="2"/>
          <c:tx>
            <c:strRef>
              <c:f>казн!$A$25</c:f>
              <c:strCache>
                <c:ptCount val="1"/>
                <c:pt idx="0">
                  <c:v>Акции</c:v>
                </c:pt>
              </c:strCache>
            </c:strRef>
          </c:tx>
          <c:invertIfNegative val="0"/>
          <c:dPt>
            <c:idx val="2"/>
            <c:invertIfNegative val="0"/>
            <c:bubble3D val="0"/>
            <c:spPr>
              <a:solidFill>
                <a:srgbClr val="00B050"/>
              </a:solidFill>
            </c:spPr>
          </c:dPt>
          <c:dLbls>
            <c:dLbl>
              <c:idx val="2"/>
              <c:spPr/>
              <c:txPr>
                <a:bodyPr/>
                <a:lstStyle/>
                <a:p>
                  <a:pPr>
                    <a:defRPr b="1">
                      <a:solidFill>
                        <a:sysClr val="windowText" lastClr="000000"/>
                      </a:solidFill>
                    </a:defRPr>
                  </a:pPr>
                  <a:endParaRPr lang="ru-RU"/>
                </a:p>
              </c:txPr>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казн!$B$25:$D$25</c:f>
              <c:numCache>
                <c:formatCode>_-* #,##0_р_._-;\-* #,##0_р_._-;_-* "-"??_р_._-;_-@_-</c:formatCode>
                <c:ptCount val="3"/>
                <c:pt idx="0">
                  <c:v>668.53385217000005</c:v>
                </c:pt>
                <c:pt idx="1">
                  <c:v>69.128955790000006</c:v>
                </c:pt>
                <c:pt idx="2">
                  <c:v>503.70006307</c:v>
                </c:pt>
              </c:numCache>
            </c:numRef>
          </c:val>
        </c:ser>
        <c:ser>
          <c:idx val="3"/>
          <c:order val="3"/>
          <c:tx>
            <c:strRef>
              <c:f>казн!$A$26</c:f>
              <c:strCache>
                <c:ptCount val="1"/>
                <c:pt idx="0">
                  <c:v>Паи и активы в ДУ</c:v>
                </c:pt>
              </c:strCache>
            </c:strRef>
          </c:tx>
          <c:invertIfNegative val="0"/>
          <c:dPt>
            <c:idx val="2"/>
            <c:invertIfNegative val="0"/>
            <c:bubble3D val="0"/>
            <c:spPr>
              <a:solidFill>
                <a:srgbClr val="00E266"/>
              </a:solidFill>
            </c:spPr>
          </c:dPt>
          <c:dLbls>
            <c:dLbl>
              <c:idx val="0"/>
              <c:layout>
                <c:manualLayout>
                  <c:x val="0"/>
                  <c:y val="-1.4925373134328361E-2"/>
                </c:manualLayout>
              </c:layout>
              <c:showLegendKey val="0"/>
              <c:showVal val="1"/>
              <c:showCatName val="0"/>
              <c:showSerName val="0"/>
              <c:showPercent val="0"/>
              <c:showBubbleSize val="0"/>
            </c:dLbl>
            <c:dLbl>
              <c:idx val="1"/>
              <c:layout>
                <c:manualLayout>
                  <c:x val="6.1417508822691289E-17"/>
                  <c:y val="-1.4925373134328361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казн!$B$26:$D$26</c:f>
              <c:numCache>
                <c:formatCode>_-* #,##0_р_._-;\-* #,##0_р_._-;_-* "-"??_р_._-;_-@_-</c:formatCode>
                <c:ptCount val="3"/>
                <c:pt idx="0">
                  <c:v>1941.3761203199999</c:v>
                </c:pt>
                <c:pt idx="1">
                  <c:v>2047.6657012999999</c:v>
                </c:pt>
                <c:pt idx="2">
                  <c:v>1712.60363495</c:v>
                </c:pt>
              </c:numCache>
            </c:numRef>
          </c:val>
        </c:ser>
        <c:ser>
          <c:idx val="4"/>
          <c:order val="4"/>
          <c:tx>
            <c:strRef>
              <c:f>казн!$A$27</c:f>
              <c:strCache>
                <c:ptCount val="1"/>
                <c:pt idx="0">
                  <c:v>Ценные бумаги по договорам "репо"</c:v>
                </c:pt>
              </c:strCache>
            </c:strRef>
          </c:tx>
          <c:invertIfNegative val="0"/>
          <c:dPt>
            <c:idx val="2"/>
            <c:invertIfNegative val="0"/>
            <c:bubble3D val="0"/>
            <c:spPr>
              <a:solidFill>
                <a:srgbClr val="99FFCC"/>
              </a:solidFill>
            </c:spPr>
          </c:dPt>
          <c:dLbls>
            <c:dLbl>
              <c:idx val="1"/>
              <c:layout>
                <c:manualLayout>
                  <c:x val="6.1417508822690907E-17"/>
                  <c:y val="-1.3937282229965165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казн!$B$27:$D$27</c:f>
              <c:numCache>
                <c:formatCode>_-* #,##0_р_._-;\-* #,##0_р_._-;_-* "-"??_р_._-;_-@_-</c:formatCode>
                <c:ptCount val="3"/>
                <c:pt idx="0">
                  <c:v>206.87643588999998</c:v>
                </c:pt>
                <c:pt idx="1">
                  <c:v>751.40724883999997</c:v>
                </c:pt>
                <c:pt idx="2">
                  <c:v>732.63428643999998</c:v>
                </c:pt>
              </c:numCache>
            </c:numRef>
          </c:val>
        </c:ser>
        <c:ser>
          <c:idx val="5"/>
          <c:order val="5"/>
          <c:tx>
            <c:strRef>
              <c:f>казн!$A$28</c:f>
              <c:strCache>
                <c:ptCount val="1"/>
                <c:pt idx="0">
                  <c:v>Учтенные векселя</c:v>
                </c:pt>
              </c:strCache>
            </c:strRef>
          </c:tx>
          <c:invertIfNegative val="0"/>
          <c:dLbls>
            <c:txPr>
              <a:bodyPr/>
              <a:lstStyle/>
              <a:p>
                <a:pPr>
                  <a:defRPr b="1"/>
                </a:pPr>
                <a:endParaRPr lang="ru-RU"/>
              </a:p>
            </c:txPr>
            <c:showLegendKey val="0"/>
            <c:showVal val="1"/>
            <c:showCatName val="0"/>
            <c:showSerName val="0"/>
            <c:showPercent val="0"/>
            <c:showBubbleSize val="0"/>
            <c:showLeaderLines val="0"/>
          </c:dLbls>
          <c:cat>
            <c:strRef>
              <c:f>казн!$B$22:$D$22</c:f>
              <c:strCache>
                <c:ptCount val="3"/>
                <c:pt idx="0">
                  <c:v>2013</c:v>
                </c:pt>
                <c:pt idx="1">
                  <c:v>2014</c:v>
                </c:pt>
                <c:pt idx="2">
                  <c:v>2015</c:v>
                </c:pt>
              </c:strCache>
            </c:strRef>
          </c:cat>
          <c:val>
            <c:numRef>
              <c:f>казн!$B$28:$D$28</c:f>
              <c:numCache>
                <c:formatCode>_-* #,##0_р_._-;\-* #,##0_р_._-;_-* "-"??_р_._-;_-@_-</c:formatCode>
                <c:ptCount val="3"/>
                <c:pt idx="0">
                  <c:v>466.13076912999998</c:v>
                </c:pt>
                <c:pt idx="1">
                  <c:v>201.72425813000001</c:v>
                </c:pt>
                <c:pt idx="2">
                  <c:v>698.58596209999996</c:v>
                </c:pt>
              </c:numCache>
            </c:numRef>
          </c:val>
        </c:ser>
        <c:dLbls>
          <c:showLegendKey val="0"/>
          <c:showVal val="1"/>
          <c:showCatName val="0"/>
          <c:showSerName val="0"/>
          <c:showPercent val="0"/>
          <c:showBubbleSize val="0"/>
        </c:dLbls>
        <c:gapWidth val="150"/>
        <c:overlap val="100"/>
        <c:axId val="36723328"/>
        <c:axId val="36757888"/>
      </c:barChart>
      <c:catAx>
        <c:axId val="36723328"/>
        <c:scaling>
          <c:orientation val="minMax"/>
        </c:scaling>
        <c:delete val="0"/>
        <c:axPos val="b"/>
        <c:numFmt formatCode="@" sourceLinked="1"/>
        <c:majorTickMark val="out"/>
        <c:minorTickMark val="none"/>
        <c:tickLblPos val="nextTo"/>
        <c:txPr>
          <a:bodyPr/>
          <a:lstStyle/>
          <a:p>
            <a:pPr>
              <a:defRPr b="1"/>
            </a:pPr>
            <a:endParaRPr lang="ru-RU"/>
          </a:p>
        </c:txPr>
        <c:crossAx val="36757888"/>
        <c:crosses val="autoZero"/>
        <c:auto val="1"/>
        <c:lblAlgn val="ctr"/>
        <c:lblOffset val="100"/>
        <c:noMultiLvlLbl val="0"/>
      </c:catAx>
      <c:valAx>
        <c:axId val="36757888"/>
        <c:scaling>
          <c:orientation val="minMax"/>
        </c:scaling>
        <c:delete val="1"/>
        <c:axPos val="l"/>
        <c:numFmt formatCode="_-* #,##0_р_._-;\-* #,##0_р_._-;_-* &quot;-&quot;??_р_._-;_-@_-" sourceLinked="1"/>
        <c:majorTickMark val="out"/>
        <c:minorTickMark val="none"/>
        <c:tickLblPos val="none"/>
        <c:crossAx val="36723328"/>
        <c:crosses val="autoZero"/>
        <c:crossBetween val="between"/>
      </c:valAx>
    </c:plotArea>
    <c:legend>
      <c:legendPos val="r"/>
      <c:layout>
        <c:manualLayout>
          <c:xMode val="edge"/>
          <c:yMode val="edge"/>
          <c:x val="0"/>
          <c:y val="0.7498925610077285"/>
          <c:w val="0.96896333286370995"/>
          <c:h val="0.25010754186700113"/>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manualLayout>
          <c:layoutTarget val="inner"/>
          <c:xMode val="edge"/>
          <c:yMode val="edge"/>
          <c:x val="3.6850930993796015E-2"/>
          <c:y val="7.7486314210723661E-2"/>
          <c:w val="0.92169533275177429"/>
          <c:h val="0.64720343290422033"/>
        </c:manualLayout>
      </c:layout>
      <c:barChart>
        <c:barDir val="col"/>
        <c:grouping val="stacked"/>
        <c:varyColors val="0"/>
        <c:ser>
          <c:idx val="0"/>
          <c:order val="0"/>
          <c:tx>
            <c:strRef>
              <c:f>казн!$A$52</c:f>
              <c:strCache>
                <c:ptCount val="1"/>
                <c:pt idx="0">
                  <c:v>Межбанковские  займы (без МСП Банка)</c:v>
                </c:pt>
              </c:strCache>
            </c:strRef>
          </c:tx>
          <c:invertIfNegative val="0"/>
          <c:dPt>
            <c:idx val="2"/>
            <c:invertIfNegative val="0"/>
            <c:bubble3D val="0"/>
            <c:spPr>
              <a:solidFill>
                <a:srgbClr val="006C31"/>
              </a:solidFill>
            </c:spPr>
          </c:dPt>
          <c:dLbls>
            <c:dLbl>
              <c:idx val="0"/>
              <c:layout>
                <c:manualLayout>
                  <c:x val="-3.3329167187434903E-7"/>
                  <c:y val="1.554907201424148E-2"/>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казн!$B$51:$D$51</c:f>
              <c:strCache>
                <c:ptCount val="3"/>
                <c:pt idx="0">
                  <c:v>2013</c:v>
                </c:pt>
                <c:pt idx="1">
                  <c:v>2014</c:v>
                </c:pt>
                <c:pt idx="2">
                  <c:v>2015</c:v>
                </c:pt>
              </c:strCache>
            </c:strRef>
          </c:cat>
          <c:val>
            <c:numRef>
              <c:f>казн!$B$52:$D$52</c:f>
              <c:numCache>
                <c:formatCode>_-* #,##0_р_._-;\-* #,##0_р_._-;_-* "-"??_р_._-;_-@_-</c:formatCode>
                <c:ptCount val="3"/>
                <c:pt idx="0">
                  <c:v>316.89553000000001</c:v>
                </c:pt>
                <c:pt idx="1">
                  <c:v>1794.5399686699998</c:v>
                </c:pt>
                <c:pt idx="2">
                  <c:v>684.55718386000001</c:v>
                </c:pt>
              </c:numCache>
            </c:numRef>
          </c:val>
        </c:ser>
        <c:ser>
          <c:idx val="1"/>
          <c:order val="1"/>
          <c:tx>
            <c:strRef>
              <c:f>казн!$A$53</c:f>
              <c:strCache>
                <c:ptCount val="1"/>
                <c:pt idx="0">
                  <c:v>Корсчета "лоро"</c:v>
                </c:pt>
              </c:strCache>
            </c:strRef>
          </c:tx>
          <c:invertIfNegative val="0"/>
          <c:dPt>
            <c:idx val="2"/>
            <c:invertIfNegative val="0"/>
            <c:bubble3D val="0"/>
            <c:spPr>
              <a:solidFill>
                <a:srgbClr val="00B050"/>
              </a:solidFill>
            </c:spPr>
          </c:dPt>
          <c:dLbls>
            <c:dLbl>
              <c:idx val="0"/>
              <c:showLegendKey val="0"/>
              <c:showVal val="1"/>
              <c:showCatName val="0"/>
              <c:showSerName val="0"/>
              <c:showPercent val="0"/>
              <c:showBubbleSize val="0"/>
            </c:dLbl>
            <c:dLbl>
              <c:idx val="1"/>
              <c:layout>
                <c:manualLayout>
                  <c:x val="6.1417508822691412E-17"/>
                  <c:y val="-6.142238798135388E-3"/>
                </c:manualLayout>
              </c:layout>
              <c:dLblPos val="ctr"/>
              <c:showLegendKey val="0"/>
              <c:showVal val="1"/>
              <c:showCatName val="0"/>
              <c:showSerName val="0"/>
              <c:showPercent val="0"/>
              <c:showBubbleSize val="0"/>
            </c:dLbl>
            <c:dLbl>
              <c:idx val="2"/>
              <c:layout>
                <c:manualLayout>
                  <c:x val="0"/>
                  <c:y val="2.0712710692986636E-3"/>
                </c:manualLayout>
              </c:layout>
              <c:dLblPos val="ctr"/>
              <c:showLegendKey val="0"/>
              <c:showVal val="1"/>
              <c:showCatName val="0"/>
              <c:showSerName val="0"/>
              <c:showPercent val="0"/>
              <c:showBubbleSize val="0"/>
            </c:dLbl>
            <c:txPr>
              <a:bodyPr/>
              <a:lstStyle/>
              <a:p>
                <a:pPr>
                  <a:defRPr b="1">
                    <a:solidFill>
                      <a:schemeClr val="bg1"/>
                    </a:solidFill>
                  </a:defRPr>
                </a:pPr>
                <a:endParaRPr lang="ru-RU"/>
              </a:p>
            </c:txPr>
            <c:dLblPos val="inBase"/>
            <c:showLegendKey val="0"/>
            <c:showVal val="1"/>
            <c:showCatName val="0"/>
            <c:showSerName val="0"/>
            <c:showPercent val="0"/>
            <c:showBubbleSize val="0"/>
            <c:showLeaderLines val="0"/>
          </c:dLbls>
          <c:cat>
            <c:strRef>
              <c:f>казн!$B$51:$D$51</c:f>
              <c:strCache>
                <c:ptCount val="3"/>
                <c:pt idx="0">
                  <c:v>2013</c:v>
                </c:pt>
                <c:pt idx="1">
                  <c:v>2014</c:v>
                </c:pt>
                <c:pt idx="2">
                  <c:v>2015</c:v>
                </c:pt>
              </c:strCache>
            </c:strRef>
          </c:cat>
          <c:val>
            <c:numRef>
              <c:f>казн!$B$53:$D$53</c:f>
              <c:numCache>
                <c:formatCode>_-* #,##0_р_._-;\-* #,##0_р_._-;_-* "-"??_р_._-;_-@_-</c:formatCode>
                <c:ptCount val="3"/>
                <c:pt idx="0">
                  <c:v>0.15412392</c:v>
                </c:pt>
                <c:pt idx="1">
                  <c:v>2.8289769999999999E-2</c:v>
                </c:pt>
                <c:pt idx="2">
                  <c:v>200.88492918</c:v>
                </c:pt>
              </c:numCache>
            </c:numRef>
          </c:val>
        </c:ser>
        <c:ser>
          <c:idx val="2"/>
          <c:order val="2"/>
          <c:tx>
            <c:strRef>
              <c:f>казн!$A$54</c:f>
              <c:strCache>
                <c:ptCount val="1"/>
                <c:pt idx="0">
                  <c:v>Кредиты Банка России (репо)</c:v>
                </c:pt>
              </c:strCache>
            </c:strRef>
          </c:tx>
          <c:invertIfNegative val="0"/>
          <c:dPt>
            <c:idx val="2"/>
            <c:invertIfNegative val="0"/>
            <c:bubble3D val="0"/>
            <c:spPr>
              <a:solidFill>
                <a:srgbClr val="00E266"/>
              </a:solidFill>
            </c:spPr>
          </c:dPt>
          <c:dLbls>
            <c:dLbl>
              <c:idx val="0"/>
              <c:layout>
                <c:manualLayout>
                  <c:x val="-3.3329167187434903E-7"/>
                  <c:y val="-2.9199198304538983E-2"/>
                </c:manualLayout>
              </c:layout>
              <c:dLblPos val="ctr"/>
              <c:showLegendKey val="0"/>
              <c:showVal val="1"/>
              <c:showCatName val="0"/>
              <c:showSerName val="0"/>
              <c:showPercent val="0"/>
              <c:showBubbleSize val="0"/>
            </c:dLbl>
            <c:dLbl>
              <c:idx val="1"/>
              <c:layout>
                <c:manualLayout>
                  <c:x val="6.1417508822690907E-17"/>
                  <c:y val="-9.86955282275112E-4"/>
                </c:manualLayout>
              </c:layout>
              <c:dLblPos val="ctr"/>
              <c:showLegendKey val="0"/>
              <c:showVal val="1"/>
              <c:showCatName val="0"/>
              <c:showSerName val="0"/>
              <c:showPercent val="0"/>
              <c:showBubbleSize val="0"/>
            </c:dLbl>
            <c:dLbl>
              <c:idx val="2"/>
              <c:layout>
                <c:manualLayout>
                  <c:x val="0"/>
                  <c:y val="-1.4981273408239701E-2"/>
                </c:manualLayout>
              </c:layout>
              <c:dLblPos val="ctr"/>
              <c:showLegendKey val="0"/>
              <c:showVal val="1"/>
              <c:showCatName val="0"/>
              <c:showSerName val="0"/>
              <c:showPercent val="0"/>
              <c:showBubbleSize val="0"/>
            </c:dLbl>
            <c:txPr>
              <a:bodyPr/>
              <a:lstStyle/>
              <a:p>
                <a:pPr>
                  <a:defRPr b="1">
                    <a:solidFill>
                      <a:sysClr val="windowText" lastClr="000000"/>
                    </a:solidFill>
                  </a:defRPr>
                </a:pPr>
                <a:endParaRPr lang="ru-RU"/>
              </a:p>
            </c:txPr>
            <c:dLblPos val="ctr"/>
            <c:showLegendKey val="0"/>
            <c:showVal val="1"/>
            <c:showCatName val="0"/>
            <c:showSerName val="0"/>
            <c:showPercent val="0"/>
            <c:showBubbleSize val="0"/>
            <c:showLeaderLines val="0"/>
          </c:dLbls>
          <c:cat>
            <c:strRef>
              <c:f>казн!$B$51:$D$51</c:f>
              <c:strCache>
                <c:ptCount val="3"/>
                <c:pt idx="0">
                  <c:v>2013</c:v>
                </c:pt>
                <c:pt idx="1">
                  <c:v>2014</c:v>
                </c:pt>
                <c:pt idx="2">
                  <c:v>2015</c:v>
                </c:pt>
              </c:strCache>
            </c:strRef>
          </c:cat>
          <c:val>
            <c:numRef>
              <c:f>казн!$B$54:$D$54</c:f>
              <c:numCache>
                <c:formatCode>_-* #,##0_р_._-;\-* #,##0_р_._-;_-* "-"??_р_._-;_-@_-</c:formatCode>
                <c:ptCount val="3"/>
                <c:pt idx="0">
                  <c:v>170.41930024000001</c:v>
                </c:pt>
                <c:pt idx="1">
                  <c:v>543.68160000000012</c:v>
                </c:pt>
                <c:pt idx="2">
                  <c:v>460.53588479000001</c:v>
                </c:pt>
              </c:numCache>
            </c:numRef>
          </c:val>
        </c:ser>
        <c:ser>
          <c:idx val="3"/>
          <c:order val="3"/>
          <c:tx>
            <c:strRef>
              <c:f>казн!$A$55</c:f>
              <c:strCache>
                <c:ptCount val="1"/>
                <c:pt idx="0">
                  <c:v>Долговые обязательства</c:v>
                </c:pt>
              </c:strCache>
            </c:strRef>
          </c:tx>
          <c:invertIfNegative val="0"/>
          <c:dLbls>
            <c:dLbl>
              <c:idx val="0"/>
              <c:layout>
                <c:manualLayout>
                  <c:x val="-4.2328042328042331E-3"/>
                  <c:y val="-3.887268003560363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казн!$B$51:$D$51</c:f>
              <c:strCache>
                <c:ptCount val="3"/>
                <c:pt idx="0">
                  <c:v>2013</c:v>
                </c:pt>
                <c:pt idx="1">
                  <c:v>2014</c:v>
                </c:pt>
                <c:pt idx="2">
                  <c:v>2015</c:v>
                </c:pt>
              </c:strCache>
            </c:strRef>
          </c:cat>
          <c:val>
            <c:numRef>
              <c:f>казн!$B$55:$D$55</c:f>
              <c:numCache>
                <c:formatCode>_-* #,##0_р_._-;\-* #,##0_р_._-;_-* "-"??_р_._-;_-@_-</c:formatCode>
                <c:ptCount val="3"/>
                <c:pt idx="0">
                  <c:v>243.87218562999999</c:v>
                </c:pt>
                <c:pt idx="1">
                  <c:v>19.070277780000001</c:v>
                </c:pt>
                <c:pt idx="2">
                  <c:v>306.74799423000002</c:v>
                </c:pt>
              </c:numCache>
            </c:numRef>
          </c:val>
        </c:ser>
        <c:dLbls>
          <c:showLegendKey val="0"/>
          <c:showVal val="1"/>
          <c:showCatName val="0"/>
          <c:showSerName val="0"/>
          <c:showPercent val="0"/>
          <c:showBubbleSize val="0"/>
        </c:dLbls>
        <c:gapWidth val="150"/>
        <c:overlap val="100"/>
        <c:axId val="36279424"/>
        <c:axId val="36280960"/>
      </c:barChart>
      <c:catAx>
        <c:axId val="36279424"/>
        <c:scaling>
          <c:orientation val="minMax"/>
        </c:scaling>
        <c:delete val="0"/>
        <c:axPos val="b"/>
        <c:numFmt formatCode="@" sourceLinked="1"/>
        <c:majorTickMark val="out"/>
        <c:minorTickMark val="none"/>
        <c:tickLblPos val="nextTo"/>
        <c:txPr>
          <a:bodyPr/>
          <a:lstStyle/>
          <a:p>
            <a:pPr>
              <a:defRPr b="1"/>
            </a:pPr>
            <a:endParaRPr lang="ru-RU"/>
          </a:p>
        </c:txPr>
        <c:crossAx val="36280960"/>
        <c:crosses val="autoZero"/>
        <c:auto val="1"/>
        <c:lblAlgn val="ctr"/>
        <c:lblOffset val="100"/>
        <c:noMultiLvlLbl val="0"/>
      </c:catAx>
      <c:valAx>
        <c:axId val="36280960"/>
        <c:scaling>
          <c:orientation val="minMax"/>
        </c:scaling>
        <c:delete val="1"/>
        <c:axPos val="l"/>
        <c:numFmt formatCode="_-* #,##0_р_._-;\-* #,##0_р_._-;_-* &quot;-&quot;??_р_._-;_-@_-" sourceLinked="1"/>
        <c:majorTickMark val="out"/>
        <c:minorTickMark val="none"/>
        <c:tickLblPos val="none"/>
        <c:crossAx val="36279424"/>
        <c:crosses val="autoZero"/>
        <c:crossBetween val="between"/>
      </c:valAx>
    </c:plotArea>
    <c:legend>
      <c:legendPos val="r"/>
      <c:layout>
        <c:manualLayout>
          <c:xMode val="edge"/>
          <c:yMode val="edge"/>
          <c:x val="0"/>
          <c:y val="0.81520631904491969"/>
          <c:w val="0.87936507936507935"/>
          <c:h val="0.18016415902170627"/>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2.5114155251141551E-2"/>
          <c:y val="9.1888456542720223E-2"/>
          <c:w val="0.94977168949771684"/>
          <c:h val="0.63595123728573133"/>
        </c:manualLayout>
      </c:layout>
      <c:barChart>
        <c:barDir val="col"/>
        <c:grouping val="stacked"/>
        <c:varyColors val="0"/>
        <c:ser>
          <c:idx val="1"/>
          <c:order val="0"/>
          <c:tx>
            <c:strRef>
              <c:f>Лист1!$A$8</c:f>
              <c:strCache>
                <c:ptCount val="1"/>
                <c:pt idx="0">
                  <c:v>Процентные доходы</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Лист1!$B$8:$D$8</c:f>
              <c:numCache>
                <c:formatCode>_-* #,##0_р_._-;\-* #,##0_р_._-;_-* "-"??_р_._-;_-@_-</c:formatCode>
                <c:ptCount val="3"/>
                <c:pt idx="0">
                  <c:v>1618</c:v>
                </c:pt>
                <c:pt idx="1">
                  <c:v>2159.6030000000001</c:v>
                </c:pt>
                <c:pt idx="2">
                  <c:v>3735.364</c:v>
                </c:pt>
              </c:numCache>
            </c:numRef>
          </c:val>
        </c:ser>
        <c:ser>
          <c:idx val="4"/>
          <c:order val="1"/>
          <c:tx>
            <c:strRef>
              <c:f>Лист1!$A$11</c:f>
              <c:strCache>
                <c:ptCount val="1"/>
                <c:pt idx="0">
                  <c:v>Комиссионные доходы</c:v>
                </c:pt>
              </c:strCache>
            </c:strRef>
          </c:tx>
          <c:invertIfNegative val="0"/>
          <c:dLbls>
            <c:dLbl>
              <c:idx val="0"/>
              <c:layout>
                <c:manualLayout>
                  <c:x val="-3.1963470319634681E-2"/>
                  <c:y val="6.4838626162860438E-17"/>
                </c:manualLayout>
              </c:layout>
              <c:showLegendKey val="0"/>
              <c:showVal val="1"/>
              <c:showCatName val="0"/>
              <c:showSerName val="0"/>
              <c:showPercent val="0"/>
              <c:showBubbleSize val="0"/>
            </c:dLbl>
            <c:dLbl>
              <c:idx val="1"/>
              <c:layout>
                <c:manualLayout>
                  <c:x val="-3.6529680365296802E-2"/>
                  <c:y val="0"/>
                </c:manualLayout>
              </c:layout>
              <c:showLegendKey val="0"/>
              <c:showVal val="1"/>
              <c:showCatName val="0"/>
              <c:showSerName val="0"/>
              <c:showPercent val="0"/>
              <c:showBubbleSize val="0"/>
            </c:dLbl>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Лист1!$B$11:$D$11</c:f>
              <c:numCache>
                <c:formatCode>_-* #,##0_р_._-;\-* #,##0_р_._-;_-* "-"??_р_._-;_-@_-</c:formatCode>
                <c:ptCount val="3"/>
                <c:pt idx="0">
                  <c:v>91</c:v>
                </c:pt>
                <c:pt idx="1">
                  <c:v>144.672</c:v>
                </c:pt>
                <c:pt idx="2">
                  <c:v>289.36900000000003</c:v>
                </c:pt>
              </c:numCache>
            </c:numRef>
          </c:val>
        </c:ser>
        <c:ser>
          <c:idx val="6"/>
          <c:order val="2"/>
          <c:tx>
            <c:strRef>
              <c:f>Лист1!$A$13</c:f>
              <c:strCache>
                <c:ptCount val="1"/>
                <c:pt idx="0">
                  <c:v>Чистый доход от операций с ценными бумагами</c:v>
                </c:pt>
              </c:strCache>
            </c:strRef>
          </c:tx>
          <c:invertIfNegative val="0"/>
          <c:dLbls>
            <c:dLbl>
              <c:idx val="0"/>
              <c:layout>
                <c:manualLayout>
                  <c:x val="2.5114155251141551E-2"/>
                  <c:y val="0"/>
                </c:manualLayout>
              </c:layout>
              <c:showLegendKey val="0"/>
              <c:showVal val="1"/>
              <c:showCatName val="0"/>
              <c:showSerName val="0"/>
              <c:showPercent val="0"/>
              <c:showBubbleSize val="0"/>
            </c:dLbl>
            <c:dLbl>
              <c:idx val="1"/>
              <c:layout>
                <c:manualLayout>
                  <c:x val="3.6529680365296802E-2"/>
                  <c:y val="-1.0610079575596816E-2"/>
                </c:manualLayout>
              </c:layout>
              <c:showLegendKey val="0"/>
              <c:showVal val="1"/>
              <c:showCatName val="0"/>
              <c:showSerName val="0"/>
              <c:showPercent val="0"/>
              <c:showBubbleSize val="0"/>
            </c:dLbl>
            <c:dLbl>
              <c:idx val="2"/>
              <c:layout>
                <c:manualLayout>
                  <c:x val="-3.4246575342465752E-2"/>
                  <c:y val="-3.5366931918656055E-3"/>
                </c:manualLayout>
              </c:layout>
              <c:spPr/>
              <c:txPr>
                <a:bodyPr/>
                <a:lstStyle/>
                <a:p>
                  <a:pPr>
                    <a:defRPr b="1">
                      <a:solidFill>
                        <a:sysClr val="windowText" lastClr="000000"/>
                      </a:solidFill>
                    </a:defRPr>
                  </a:pPr>
                  <a:endParaRPr lang="ru-RU"/>
                </a:p>
              </c:txPr>
              <c:showLegendKey val="0"/>
              <c:showVal val="1"/>
              <c:showCatName val="0"/>
              <c:showSerName val="0"/>
              <c:showPercent val="0"/>
              <c:showBubbleSize val="0"/>
            </c:dLbl>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Лист1!$B$13:$D$13</c:f>
              <c:numCache>
                <c:formatCode>_-* #,##0_р_._-;\-* #,##0_р_._-;_-* "-"??_р_._-;_-@_-</c:formatCode>
                <c:ptCount val="3"/>
                <c:pt idx="0" formatCode="General">
                  <c:v>156</c:v>
                </c:pt>
                <c:pt idx="1">
                  <c:v>76.674999999999997</c:v>
                </c:pt>
                <c:pt idx="2">
                  <c:v>140.88999999999999</c:v>
                </c:pt>
              </c:numCache>
            </c:numRef>
          </c:val>
        </c:ser>
        <c:ser>
          <c:idx val="7"/>
          <c:order val="3"/>
          <c:tx>
            <c:strRef>
              <c:f>Лист1!$A$14</c:f>
              <c:strCache>
                <c:ptCount val="1"/>
                <c:pt idx="0">
                  <c:v>Чистый доход от операций с инострайнной валюте</c:v>
                </c:pt>
              </c:strCache>
            </c:strRef>
          </c:tx>
          <c:invertIfNegative val="0"/>
          <c:dLbls>
            <c:dLbl>
              <c:idx val="0"/>
              <c:layout>
                <c:manualLayout>
                  <c:x val="-3.1963470319634701E-2"/>
                  <c:y val="0"/>
                </c:manualLayout>
              </c:layout>
              <c:showLegendKey val="0"/>
              <c:showVal val="1"/>
              <c:showCatName val="0"/>
              <c:showSerName val="0"/>
              <c:showPercent val="0"/>
              <c:showBubbleSize val="0"/>
            </c:dLbl>
            <c:dLbl>
              <c:idx val="1"/>
              <c:layout>
                <c:manualLayout>
                  <c:x val="-3.4246575342465752E-2"/>
                  <c:y val="-3.5366931918656055E-3"/>
                </c:manualLayout>
              </c:layout>
              <c:showLegendKey val="0"/>
              <c:showVal val="1"/>
              <c:showCatName val="0"/>
              <c:showSerName val="0"/>
              <c:showPercent val="0"/>
              <c:showBubbleSize val="0"/>
            </c:dLbl>
            <c:dLbl>
              <c:idx val="2"/>
              <c:layout>
                <c:manualLayout>
                  <c:x val="4.1095890410958902E-2"/>
                  <c:y val="-3.5366931918656055E-3"/>
                </c:manualLayout>
              </c:layout>
              <c:showLegendKey val="0"/>
              <c:showVal val="1"/>
              <c:showCatName val="0"/>
              <c:showSerName val="0"/>
              <c:showPercent val="0"/>
              <c:showBubbleSize val="0"/>
            </c:dLbl>
            <c:txPr>
              <a:bodyPr/>
              <a:lstStyle/>
              <a:p>
                <a:pPr>
                  <a:defRPr b="1">
                    <a:solidFill>
                      <a:sysClr val="windowText" lastClr="000000"/>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Лист1!$B$14:$D$14</c:f>
              <c:numCache>
                <c:formatCode>_-* #,##0_р_._-;\-* #,##0_р_._-;_-* "-"??_р_._-;_-@_-</c:formatCode>
                <c:ptCount val="3"/>
                <c:pt idx="0" formatCode="General">
                  <c:v>19</c:v>
                </c:pt>
                <c:pt idx="1">
                  <c:v>35.912999999999997</c:v>
                </c:pt>
                <c:pt idx="2">
                  <c:v>19.038</c:v>
                </c:pt>
              </c:numCache>
            </c:numRef>
          </c:val>
        </c:ser>
        <c:ser>
          <c:idx val="8"/>
          <c:order val="4"/>
          <c:tx>
            <c:strRef>
              <c:f>Лист1!$A$15</c:f>
              <c:strCache>
                <c:ptCount val="1"/>
                <c:pt idx="0">
                  <c:v>Прочие операционные доходы</c:v>
                </c:pt>
              </c:strCache>
            </c:strRef>
          </c:tx>
          <c:invertIfNegative val="0"/>
          <c:dLbls>
            <c:dLbl>
              <c:idx val="0"/>
              <c:layout>
                <c:manualLayout>
                  <c:x val="6.8493150684931503E-3"/>
                  <c:y val="6.5721227817345111E-5"/>
                </c:manualLayout>
              </c:layout>
              <c:showLegendKey val="0"/>
              <c:showVal val="1"/>
              <c:showCatName val="0"/>
              <c:showSerName val="0"/>
              <c:showPercent val="0"/>
              <c:showBubbleSize val="0"/>
            </c:dLbl>
            <c:dLbl>
              <c:idx val="1"/>
              <c:layout>
                <c:manualLayout>
                  <c:x val="1.1415525114155251E-2"/>
                  <c:y val="-1.7683465959328029E-2"/>
                </c:manualLayout>
              </c:layout>
              <c:showLegendKey val="0"/>
              <c:showVal val="1"/>
              <c:showCatName val="0"/>
              <c:showSerName val="0"/>
              <c:showPercent val="0"/>
              <c:showBubbleSize val="0"/>
            </c:dLbl>
            <c:dLbl>
              <c:idx val="2"/>
              <c:layout>
                <c:manualLayout>
                  <c:x val="0"/>
                  <c:y val="-2.829354553492484E-2"/>
                </c:manualLayout>
              </c:layout>
              <c:showLegendKey val="0"/>
              <c:showVal val="1"/>
              <c:showCatName val="0"/>
              <c:showSerName val="0"/>
              <c:showPercent val="0"/>
              <c:showBubbleSize val="0"/>
            </c:dLbl>
            <c:txPr>
              <a:bodyPr/>
              <a:lstStyle/>
              <a:p>
                <a:pPr>
                  <a:defRPr b="1">
                    <a:solidFill>
                      <a:sysClr val="windowText" lastClr="000000"/>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Лист1!$B$15:$D$15</c:f>
              <c:numCache>
                <c:formatCode>_-* #,##0_р_._-;\-* #,##0_р_._-;_-* "-"??_р_._-;_-@_-</c:formatCode>
                <c:ptCount val="3"/>
                <c:pt idx="0" formatCode="General">
                  <c:v>273</c:v>
                </c:pt>
                <c:pt idx="1">
                  <c:v>201.49199999999999</c:v>
                </c:pt>
                <c:pt idx="2">
                  <c:v>73.641999999999996</c:v>
                </c:pt>
              </c:numCache>
            </c:numRef>
          </c:val>
        </c:ser>
        <c:dLbls>
          <c:showLegendKey val="0"/>
          <c:showVal val="0"/>
          <c:showCatName val="0"/>
          <c:showSerName val="0"/>
          <c:showPercent val="0"/>
          <c:showBubbleSize val="0"/>
        </c:dLbls>
        <c:gapWidth val="150"/>
        <c:overlap val="100"/>
        <c:axId val="36417920"/>
        <c:axId val="36419456"/>
      </c:barChart>
      <c:catAx>
        <c:axId val="36417920"/>
        <c:scaling>
          <c:orientation val="minMax"/>
        </c:scaling>
        <c:delete val="0"/>
        <c:axPos val="b"/>
        <c:numFmt formatCode="General" sourceLinked="1"/>
        <c:majorTickMark val="out"/>
        <c:minorTickMark val="none"/>
        <c:tickLblPos val="nextTo"/>
        <c:txPr>
          <a:bodyPr/>
          <a:lstStyle/>
          <a:p>
            <a:pPr>
              <a:defRPr b="1"/>
            </a:pPr>
            <a:endParaRPr lang="ru-RU"/>
          </a:p>
        </c:txPr>
        <c:crossAx val="36419456"/>
        <c:crosses val="autoZero"/>
        <c:auto val="1"/>
        <c:lblAlgn val="ctr"/>
        <c:lblOffset val="100"/>
        <c:noMultiLvlLbl val="0"/>
      </c:catAx>
      <c:valAx>
        <c:axId val="36419456"/>
        <c:scaling>
          <c:orientation val="minMax"/>
        </c:scaling>
        <c:delete val="1"/>
        <c:axPos val="l"/>
        <c:numFmt formatCode="_-* #,##0_р_._-;\-* #,##0_р_._-;_-* &quot;-&quot;??_р_._-;_-@_-" sourceLinked="1"/>
        <c:majorTickMark val="out"/>
        <c:minorTickMark val="none"/>
        <c:tickLblPos val="nextTo"/>
        <c:crossAx val="36417920"/>
        <c:crosses val="autoZero"/>
        <c:crossBetween val="between"/>
      </c:valAx>
    </c:plotArea>
    <c:legend>
      <c:legendPos val="b"/>
      <c:layout>
        <c:manualLayout>
          <c:xMode val="edge"/>
          <c:yMode val="edge"/>
          <c:x val="4.9019343472476912E-2"/>
          <c:y val="0.80268510202802901"/>
          <c:w val="0.87456387300902461"/>
          <c:h val="0.17547651562982391"/>
        </c:manualLayout>
      </c:layout>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userShapes r:id="rId2"/>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col"/>
        <c:grouping val="stacked"/>
        <c:varyColors val="0"/>
        <c:ser>
          <c:idx val="0"/>
          <c:order val="0"/>
          <c:tx>
            <c:strRef>
              <c:f>Лист1!$A$9</c:f>
              <c:strCache>
                <c:ptCount val="1"/>
                <c:pt idx="0">
                  <c:v>Процентные расходы</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Лист1!$B$9:$D$9</c:f>
              <c:numCache>
                <c:formatCode>_-* #,##0_р_._-;\-* #,##0_р_._-;_-* "-"??_р_._-;_-@_-</c:formatCode>
                <c:ptCount val="3"/>
                <c:pt idx="0">
                  <c:v>1277</c:v>
                </c:pt>
                <c:pt idx="1">
                  <c:v>1690.5</c:v>
                </c:pt>
                <c:pt idx="2">
                  <c:v>3138.502</c:v>
                </c:pt>
              </c:numCache>
            </c:numRef>
          </c:val>
        </c:ser>
        <c:ser>
          <c:idx val="3"/>
          <c:order val="1"/>
          <c:tx>
            <c:strRef>
              <c:f>Лист1!$A$12</c:f>
              <c:strCache>
                <c:ptCount val="1"/>
                <c:pt idx="0">
                  <c:v>Комиссионные расходы</c:v>
                </c:pt>
              </c:strCache>
            </c:strRef>
          </c:tx>
          <c:invertIfNegative val="0"/>
          <c:dLbls>
            <c:txPr>
              <a:bodyPr/>
              <a:lstStyle/>
              <a:p>
                <a:pPr>
                  <a:defRPr b="1">
                    <a:solidFill>
                      <a:schemeClr val="bg1"/>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Лист1!$B$12:$D$12</c:f>
              <c:numCache>
                <c:formatCode>_-* #,##0_р_._-;\-* #,##0_р_._-;_-* "-"??_р_._-;_-@_-</c:formatCode>
                <c:ptCount val="3"/>
                <c:pt idx="0">
                  <c:v>28</c:v>
                </c:pt>
                <c:pt idx="1">
                  <c:v>38.881</c:v>
                </c:pt>
                <c:pt idx="2">
                  <c:v>29.382999999999999</c:v>
                </c:pt>
              </c:numCache>
            </c:numRef>
          </c:val>
        </c:ser>
        <c:ser>
          <c:idx val="8"/>
          <c:order val="2"/>
          <c:tx>
            <c:strRef>
              <c:f>Лист1!$A$17</c:f>
              <c:strCache>
                <c:ptCount val="1"/>
                <c:pt idx="0">
                  <c:v>Неоперационные расходы</c:v>
                </c:pt>
              </c:strCache>
            </c:strRef>
          </c:tx>
          <c:invertIfNegative val="0"/>
          <c:dLbls>
            <c:txPr>
              <a:bodyPr/>
              <a:lstStyle/>
              <a:p>
                <a:pPr>
                  <a:defRPr b="1">
                    <a:solidFill>
                      <a:sysClr val="windowText" lastClr="000000"/>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Лист1!$B$17:$D$17</c:f>
              <c:numCache>
                <c:formatCode>_-* #,##0_р_._-;\-* #,##0_р_._-;_-* "-"??_р_._-;_-@_-</c:formatCode>
                <c:ptCount val="3"/>
                <c:pt idx="0" formatCode="General">
                  <c:v>533</c:v>
                </c:pt>
                <c:pt idx="1">
                  <c:v>659.84</c:v>
                </c:pt>
                <c:pt idx="2">
                  <c:v>643.245</c:v>
                </c:pt>
              </c:numCache>
            </c:numRef>
          </c:val>
        </c:ser>
        <c:ser>
          <c:idx val="9"/>
          <c:order val="3"/>
          <c:tx>
            <c:strRef>
              <c:f>Лист1!$A$18</c:f>
              <c:strCache>
                <c:ptCount val="1"/>
                <c:pt idx="0">
                  <c:v>Расходы на создание резервов</c:v>
                </c:pt>
              </c:strCache>
            </c:strRef>
          </c:tx>
          <c:invertIfNegative val="0"/>
          <c:dLbls>
            <c:txPr>
              <a:bodyPr/>
              <a:lstStyle/>
              <a:p>
                <a:pPr>
                  <a:defRPr b="1">
                    <a:solidFill>
                      <a:sysClr val="windowText" lastClr="000000"/>
                    </a:solidFill>
                  </a:defRPr>
                </a:pPr>
                <a:endParaRPr lang="ru-RU"/>
              </a:p>
            </c:txPr>
            <c:showLegendKey val="0"/>
            <c:showVal val="1"/>
            <c:showCatName val="0"/>
            <c:showSerName val="0"/>
            <c:showPercent val="0"/>
            <c:showBubbleSize val="0"/>
            <c:showLeaderLines val="0"/>
          </c:dLbls>
          <c:cat>
            <c:numRef>
              <c:f>Лист1!$B$1:$D$1</c:f>
              <c:numCache>
                <c:formatCode>General</c:formatCode>
                <c:ptCount val="3"/>
                <c:pt idx="0">
                  <c:v>2013</c:v>
                </c:pt>
                <c:pt idx="1">
                  <c:v>2014</c:v>
                </c:pt>
                <c:pt idx="2">
                  <c:v>2015</c:v>
                </c:pt>
              </c:numCache>
            </c:numRef>
          </c:cat>
          <c:val>
            <c:numRef>
              <c:f>Лист1!$B$18:$D$18</c:f>
              <c:numCache>
                <c:formatCode>_-* #,##0_р_._-;\-* #,##0_р_._-;_-* "-"??_р_._-;_-@_-</c:formatCode>
                <c:ptCount val="3"/>
                <c:pt idx="0" formatCode="General">
                  <c:v>155</c:v>
                </c:pt>
                <c:pt idx="1">
                  <c:v>19.632000000000001</c:v>
                </c:pt>
                <c:pt idx="2">
                  <c:v>1083.0429999999999</c:v>
                </c:pt>
              </c:numCache>
            </c:numRef>
          </c:val>
        </c:ser>
        <c:dLbls>
          <c:showLegendKey val="0"/>
          <c:showVal val="0"/>
          <c:showCatName val="0"/>
          <c:showSerName val="0"/>
          <c:showPercent val="0"/>
          <c:showBubbleSize val="0"/>
        </c:dLbls>
        <c:gapWidth val="150"/>
        <c:overlap val="100"/>
        <c:axId val="36452992"/>
        <c:axId val="36467072"/>
      </c:barChart>
      <c:catAx>
        <c:axId val="36452992"/>
        <c:scaling>
          <c:orientation val="minMax"/>
        </c:scaling>
        <c:delete val="0"/>
        <c:axPos val="b"/>
        <c:numFmt formatCode="General" sourceLinked="1"/>
        <c:majorTickMark val="out"/>
        <c:minorTickMark val="none"/>
        <c:tickLblPos val="nextTo"/>
        <c:txPr>
          <a:bodyPr/>
          <a:lstStyle/>
          <a:p>
            <a:pPr>
              <a:defRPr b="1"/>
            </a:pPr>
            <a:endParaRPr lang="ru-RU"/>
          </a:p>
        </c:txPr>
        <c:crossAx val="36467072"/>
        <c:crosses val="autoZero"/>
        <c:auto val="1"/>
        <c:lblAlgn val="ctr"/>
        <c:lblOffset val="100"/>
        <c:noMultiLvlLbl val="0"/>
      </c:catAx>
      <c:valAx>
        <c:axId val="36467072"/>
        <c:scaling>
          <c:orientation val="minMax"/>
        </c:scaling>
        <c:delete val="1"/>
        <c:axPos val="l"/>
        <c:numFmt formatCode="_-* #,##0_р_._-;\-* #,##0_р_._-;_-* &quot;-&quot;??_р_._-;_-@_-" sourceLinked="1"/>
        <c:majorTickMark val="out"/>
        <c:minorTickMark val="none"/>
        <c:tickLblPos val="nextTo"/>
        <c:crossAx val="36452992"/>
        <c:crosses val="autoZero"/>
        <c:crossBetween val="between"/>
      </c:valAx>
    </c:plotArea>
    <c:legend>
      <c:legendPos val="b"/>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userShapes r:id="rId2"/>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9267787955077044"/>
          <c:y val="5.3805774278215663E-4"/>
          <c:w val="0.28848393950756157"/>
          <c:h val="0.78531739088169539"/>
        </c:manualLayout>
      </c:layout>
      <c:doughnutChart>
        <c:varyColors val="1"/>
        <c:ser>
          <c:idx val="0"/>
          <c:order val="0"/>
          <c:dPt>
            <c:idx val="0"/>
            <c:bubble3D val="0"/>
            <c:spPr>
              <a:solidFill>
                <a:srgbClr val="00CC66"/>
              </a:solidFill>
            </c:spPr>
          </c:dPt>
          <c:dLbls>
            <c:showLegendKey val="0"/>
            <c:showVal val="1"/>
            <c:showCatName val="0"/>
            <c:showSerName val="0"/>
            <c:showPercent val="0"/>
            <c:showBubbleSize val="0"/>
            <c:showLeaderLines val="1"/>
          </c:dLbls>
          <c:cat>
            <c:strRef>
              <c:f>регионы!$A$25:$A$27</c:f>
              <c:strCache>
                <c:ptCount val="3"/>
                <c:pt idx="0">
                  <c:v>филиалы</c:v>
                </c:pt>
                <c:pt idx="1">
                  <c:v>дополнительные офисы</c:v>
                </c:pt>
                <c:pt idx="2">
                  <c:v>операционные кассы</c:v>
                </c:pt>
              </c:strCache>
            </c:strRef>
          </c:cat>
          <c:val>
            <c:numRef>
              <c:f>регионы!$B$25:$B$27</c:f>
              <c:numCache>
                <c:formatCode>General</c:formatCode>
                <c:ptCount val="3"/>
                <c:pt idx="0">
                  <c:v>4</c:v>
                </c:pt>
                <c:pt idx="1">
                  <c:v>16</c:v>
                </c:pt>
                <c:pt idx="2">
                  <c:v>3</c:v>
                </c:pt>
              </c:numCache>
            </c:numRef>
          </c:val>
        </c:ser>
        <c:dLbls>
          <c:showLegendKey val="0"/>
          <c:showVal val="0"/>
          <c:showCatName val="0"/>
          <c:showSerName val="0"/>
          <c:showPercent val="0"/>
          <c:showBubbleSize val="0"/>
          <c:showLeaderLines val="1"/>
        </c:dLbls>
        <c:firstSliceAng val="0"/>
        <c:holeSize val="50"/>
      </c:doughnutChart>
    </c:plotArea>
    <c:legend>
      <c:legendPos val="b"/>
      <c:layout>
        <c:manualLayout>
          <c:xMode val="edge"/>
          <c:yMode val="edge"/>
          <c:x val="9.6622922134733155E-2"/>
          <c:y val="0.79915149950518483"/>
          <c:w val="0.80675415573053366"/>
          <c:h val="0.2008485004948152"/>
        </c:manualLayout>
      </c:layout>
      <c:overlay val="0"/>
      <c:txPr>
        <a:bodyPr/>
        <a:lstStyle/>
        <a:p>
          <a:pPr rtl="0">
            <a:defRPr sz="900"/>
          </a:pPr>
          <a:endParaRPr lang="ru-RU"/>
        </a:p>
      </c:txPr>
    </c:legend>
    <c:plotVisOnly val="1"/>
    <c:dispBlanksAs val="gap"/>
    <c:showDLblsOverMax val="0"/>
  </c:chart>
  <c:spPr>
    <a:ln>
      <a:noFill/>
    </a:ln>
  </c:spPr>
  <c:txPr>
    <a:bodyPr/>
    <a:lstStyle/>
    <a:p>
      <a:pPr>
        <a:defRPr>
          <a:latin typeface="Georgia" pitchFamily="18" charset="0"/>
        </a:defRPr>
      </a:pPr>
      <a:endParaRPr lang="ru-RU"/>
    </a:p>
  </c:tx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регионы!$H$5</c:f>
              <c:strCache>
                <c:ptCount val="1"/>
                <c:pt idx="0">
                  <c:v>Нижнекамский филиал</c:v>
                </c:pt>
              </c:strCache>
            </c:strRef>
          </c:tx>
          <c:invertIfNegative val="0"/>
          <c:dPt>
            <c:idx val="2"/>
            <c:invertIfNegative val="0"/>
            <c:bubble3D val="0"/>
            <c:spPr>
              <a:solidFill>
                <a:srgbClr val="006C31"/>
              </a:solidFill>
            </c:spPr>
          </c:dPt>
          <c:dLbls>
            <c:txPr>
              <a:bodyPr/>
              <a:lstStyle/>
              <a:p>
                <a:pPr>
                  <a:defRPr b="1">
                    <a:solidFill>
                      <a:schemeClr val="bg1"/>
                    </a:solidFill>
                  </a:defRPr>
                </a:pPr>
                <a:endParaRPr lang="ru-RU"/>
              </a:p>
            </c:txPr>
            <c:showLegendKey val="0"/>
            <c:showVal val="1"/>
            <c:showCatName val="0"/>
            <c:showSerName val="0"/>
            <c:showPercent val="0"/>
            <c:showBubbleSize val="0"/>
            <c:showLeaderLines val="0"/>
          </c:dLbls>
          <c:cat>
            <c:strRef>
              <c:f>регионы!$I$4:$L$4</c:f>
              <c:strCache>
                <c:ptCount val="4"/>
                <c:pt idx="0">
                  <c:v>вклады ФЛ</c:v>
                </c:pt>
                <c:pt idx="1">
                  <c:v>средства ЮЛ</c:v>
                </c:pt>
                <c:pt idx="2">
                  <c:v>кредиты ЮЛ</c:v>
                </c:pt>
                <c:pt idx="3">
                  <c:v>кредиты ФЛ</c:v>
                </c:pt>
              </c:strCache>
            </c:strRef>
          </c:cat>
          <c:val>
            <c:numRef>
              <c:f>регионы!$I$5:$L$5</c:f>
              <c:numCache>
                <c:formatCode>0.0%</c:formatCode>
                <c:ptCount val="4"/>
                <c:pt idx="0">
                  <c:v>0.54863881483372867</c:v>
                </c:pt>
                <c:pt idx="1">
                  <c:v>0.21596663728686225</c:v>
                </c:pt>
                <c:pt idx="2">
                  <c:v>0.44911194600905607</c:v>
                </c:pt>
                <c:pt idx="3">
                  <c:v>0.38064854161482836</c:v>
                </c:pt>
              </c:numCache>
            </c:numRef>
          </c:val>
        </c:ser>
        <c:ser>
          <c:idx val="1"/>
          <c:order val="1"/>
          <c:tx>
            <c:strRef>
              <c:f>регионы!$H$6</c:f>
              <c:strCache>
                <c:ptCount val="1"/>
                <c:pt idx="0">
                  <c:v>Набережночелнинский филиал</c:v>
                </c:pt>
              </c:strCache>
            </c:strRef>
          </c:tx>
          <c:invertIfNegative val="0"/>
          <c:dPt>
            <c:idx val="0"/>
            <c:invertIfNegative val="0"/>
            <c:bubble3D val="0"/>
            <c:spPr>
              <a:solidFill>
                <a:schemeClr val="accent1">
                  <a:lumMod val="60000"/>
                  <a:lumOff val="40000"/>
                </a:schemeClr>
              </a:solidFill>
            </c:spPr>
          </c:dPt>
          <c:dPt>
            <c:idx val="1"/>
            <c:invertIfNegative val="0"/>
            <c:bubble3D val="0"/>
            <c:spPr>
              <a:solidFill>
                <a:schemeClr val="accent1">
                  <a:lumMod val="60000"/>
                  <a:lumOff val="40000"/>
                </a:schemeClr>
              </a:solidFill>
            </c:spPr>
          </c:dPt>
          <c:dPt>
            <c:idx val="2"/>
            <c:invertIfNegative val="0"/>
            <c:bubble3D val="0"/>
            <c:spPr>
              <a:solidFill>
                <a:srgbClr val="00B050"/>
              </a:solidFill>
            </c:spPr>
          </c:dPt>
          <c:dLbls>
            <c:txPr>
              <a:bodyPr/>
              <a:lstStyle/>
              <a:p>
                <a:pPr>
                  <a:defRPr b="1"/>
                </a:pPr>
                <a:endParaRPr lang="ru-RU"/>
              </a:p>
            </c:txPr>
            <c:showLegendKey val="0"/>
            <c:showVal val="1"/>
            <c:showCatName val="0"/>
            <c:showSerName val="0"/>
            <c:showPercent val="0"/>
            <c:showBubbleSize val="0"/>
            <c:showLeaderLines val="0"/>
          </c:dLbls>
          <c:cat>
            <c:strRef>
              <c:f>регионы!$I$4:$L$4</c:f>
              <c:strCache>
                <c:ptCount val="4"/>
                <c:pt idx="0">
                  <c:v>вклады ФЛ</c:v>
                </c:pt>
                <c:pt idx="1">
                  <c:v>средства ЮЛ</c:v>
                </c:pt>
                <c:pt idx="2">
                  <c:v>кредиты ЮЛ</c:v>
                </c:pt>
                <c:pt idx="3">
                  <c:v>кредиты ФЛ</c:v>
                </c:pt>
              </c:strCache>
            </c:strRef>
          </c:cat>
          <c:val>
            <c:numRef>
              <c:f>регионы!$I$6:$L$6</c:f>
              <c:numCache>
                <c:formatCode>0.0%</c:formatCode>
                <c:ptCount val="4"/>
                <c:pt idx="0">
                  <c:v>0.43514621312514973</c:v>
                </c:pt>
                <c:pt idx="1">
                  <c:v>0.72760937272840165</c:v>
                </c:pt>
                <c:pt idx="2">
                  <c:v>0.55088805399094387</c:v>
                </c:pt>
                <c:pt idx="3">
                  <c:v>0.61935145838517169</c:v>
                </c:pt>
              </c:numCache>
            </c:numRef>
          </c:val>
        </c:ser>
        <c:ser>
          <c:idx val="2"/>
          <c:order val="2"/>
          <c:tx>
            <c:strRef>
              <c:f>регионы!$H$7</c:f>
              <c:strCache>
                <c:ptCount val="1"/>
                <c:pt idx="0">
                  <c:v>Московский филиал</c:v>
                </c:pt>
              </c:strCache>
            </c:strRef>
          </c:tx>
          <c:invertIfNegative val="0"/>
          <c:dPt>
            <c:idx val="2"/>
            <c:invertIfNegative val="0"/>
            <c:bubble3D val="0"/>
            <c:spPr>
              <a:solidFill>
                <a:srgbClr val="00E266"/>
              </a:solidFill>
            </c:spPr>
          </c:dPt>
          <c:dLbls>
            <c:dLbl>
              <c:idx val="0"/>
              <c:layout>
                <c:manualLayout>
                  <c:x val="-2.1858433703692177E-3"/>
                  <c:y val="2.1156927752451996E-2"/>
                </c:manualLayout>
              </c:layout>
              <c:showLegendKey val="0"/>
              <c:showVal val="1"/>
              <c:showCatName val="0"/>
              <c:showSerName val="0"/>
              <c:showPercent val="0"/>
              <c:showBubbleSize val="0"/>
            </c:dLbl>
            <c:dLbl>
              <c:idx val="1"/>
              <c:layout>
                <c:manualLayout>
                  <c:x val="0"/>
                  <c:y val="0"/>
                </c:manualLayout>
              </c:layout>
              <c:showLegendKey val="0"/>
              <c:showVal val="1"/>
              <c:showCatName val="0"/>
              <c:showSerName val="0"/>
              <c:showPercent val="0"/>
              <c:showBubbleSize val="0"/>
            </c:dLbl>
            <c:dLbl>
              <c:idx val="2"/>
              <c:delete val="1"/>
            </c:dLbl>
            <c:dLbl>
              <c:idx val="3"/>
              <c:delete val="1"/>
            </c:dLbl>
            <c:txPr>
              <a:bodyPr/>
              <a:lstStyle/>
              <a:p>
                <a:pPr>
                  <a:defRPr>
                    <a:solidFill>
                      <a:schemeClr val="tx1"/>
                    </a:solidFill>
                  </a:defRPr>
                </a:pPr>
                <a:endParaRPr lang="ru-RU"/>
              </a:p>
            </c:txPr>
            <c:showLegendKey val="0"/>
            <c:showVal val="1"/>
            <c:showCatName val="0"/>
            <c:showSerName val="0"/>
            <c:showPercent val="0"/>
            <c:showBubbleSize val="0"/>
            <c:showLeaderLines val="0"/>
          </c:dLbls>
          <c:cat>
            <c:strRef>
              <c:f>регионы!$I$4:$L$4</c:f>
              <c:strCache>
                <c:ptCount val="4"/>
                <c:pt idx="0">
                  <c:v>вклады ФЛ</c:v>
                </c:pt>
                <c:pt idx="1">
                  <c:v>средства ЮЛ</c:v>
                </c:pt>
                <c:pt idx="2">
                  <c:v>кредиты ЮЛ</c:v>
                </c:pt>
                <c:pt idx="3">
                  <c:v>кредиты ФЛ</c:v>
                </c:pt>
              </c:strCache>
            </c:strRef>
          </c:cat>
          <c:val>
            <c:numRef>
              <c:f>регионы!$I$7:$L$7</c:f>
              <c:numCache>
                <c:formatCode>0.0%</c:formatCode>
                <c:ptCount val="4"/>
                <c:pt idx="0">
                  <c:v>1.168847673181516E-2</c:v>
                </c:pt>
                <c:pt idx="1">
                  <c:v>5.6417827002484246E-2</c:v>
                </c:pt>
                <c:pt idx="2">
                  <c:v>0</c:v>
                </c:pt>
                <c:pt idx="3">
                  <c:v>0</c:v>
                </c:pt>
              </c:numCache>
            </c:numRef>
          </c:val>
        </c:ser>
        <c:ser>
          <c:idx val="3"/>
          <c:order val="3"/>
          <c:tx>
            <c:strRef>
              <c:f>регионы!$H$8</c:f>
              <c:strCache>
                <c:ptCount val="1"/>
                <c:pt idx="0">
                  <c:v>Санкт-Петербургский филиал</c:v>
                </c:pt>
              </c:strCache>
            </c:strRef>
          </c:tx>
          <c:spPr>
            <a:solidFill>
              <a:srgbClr val="99FFCC"/>
            </a:solidFill>
          </c:spPr>
          <c:invertIfNegative val="0"/>
          <c:dLbls>
            <c:dLbl>
              <c:idx val="0"/>
              <c:layout>
                <c:manualLayout>
                  <c:x val="-8.2979871849945801E-3"/>
                  <c:y val="-2.209517123757709E-2"/>
                </c:manualLayout>
              </c:layout>
              <c:dLblPos val="ctr"/>
              <c:showLegendKey val="0"/>
              <c:showVal val="1"/>
              <c:showCatName val="0"/>
              <c:showSerName val="0"/>
              <c:showPercent val="0"/>
              <c:showBubbleSize val="0"/>
            </c:dLbl>
            <c:dLbl>
              <c:idx val="1"/>
              <c:delete val="1"/>
            </c:dLbl>
            <c:dLbl>
              <c:idx val="2"/>
              <c:delete val="1"/>
            </c:dLbl>
            <c:dLbl>
              <c:idx val="3"/>
              <c:delete val="1"/>
            </c:dLbl>
            <c:showLegendKey val="0"/>
            <c:showVal val="1"/>
            <c:showCatName val="0"/>
            <c:showSerName val="0"/>
            <c:showPercent val="0"/>
            <c:showBubbleSize val="0"/>
            <c:showLeaderLines val="0"/>
          </c:dLbls>
          <c:cat>
            <c:strRef>
              <c:f>регионы!$I$4:$L$4</c:f>
              <c:strCache>
                <c:ptCount val="4"/>
                <c:pt idx="0">
                  <c:v>вклады ФЛ</c:v>
                </c:pt>
                <c:pt idx="1">
                  <c:v>средства ЮЛ</c:v>
                </c:pt>
                <c:pt idx="2">
                  <c:v>кредиты ЮЛ</c:v>
                </c:pt>
                <c:pt idx="3">
                  <c:v>кредиты ФЛ</c:v>
                </c:pt>
              </c:strCache>
            </c:strRef>
          </c:cat>
          <c:val>
            <c:numRef>
              <c:f>регионы!$I$8:$L$8</c:f>
              <c:numCache>
                <c:formatCode>0.0%</c:formatCode>
                <c:ptCount val="4"/>
                <c:pt idx="0">
                  <c:v>4.5264953093064374E-3</c:v>
                </c:pt>
                <c:pt idx="1">
                  <c:v>6.162982251914695E-6</c:v>
                </c:pt>
                <c:pt idx="2">
                  <c:v>0</c:v>
                </c:pt>
                <c:pt idx="3">
                  <c:v>0</c:v>
                </c:pt>
              </c:numCache>
            </c:numRef>
          </c:val>
        </c:ser>
        <c:dLbls>
          <c:showLegendKey val="0"/>
          <c:showVal val="1"/>
          <c:showCatName val="0"/>
          <c:showSerName val="0"/>
          <c:showPercent val="0"/>
          <c:showBubbleSize val="0"/>
        </c:dLbls>
        <c:gapWidth val="75"/>
        <c:overlap val="100"/>
        <c:axId val="36890496"/>
        <c:axId val="36892032"/>
      </c:barChart>
      <c:catAx>
        <c:axId val="36890496"/>
        <c:scaling>
          <c:orientation val="minMax"/>
        </c:scaling>
        <c:delete val="0"/>
        <c:axPos val="b"/>
        <c:numFmt formatCode="@" sourceLinked="1"/>
        <c:majorTickMark val="none"/>
        <c:minorTickMark val="none"/>
        <c:tickLblPos val="nextTo"/>
        <c:txPr>
          <a:bodyPr/>
          <a:lstStyle/>
          <a:p>
            <a:pPr>
              <a:defRPr b="1"/>
            </a:pPr>
            <a:endParaRPr lang="ru-RU"/>
          </a:p>
        </c:txPr>
        <c:crossAx val="36892032"/>
        <c:crosses val="autoZero"/>
        <c:auto val="1"/>
        <c:lblAlgn val="ctr"/>
        <c:lblOffset val="100"/>
        <c:noMultiLvlLbl val="0"/>
      </c:catAx>
      <c:valAx>
        <c:axId val="36892032"/>
        <c:scaling>
          <c:orientation val="minMax"/>
        </c:scaling>
        <c:delete val="1"/>
        <c:axPos val="l"/>
        <c:numFmt formatCode="0.0%" sourceLinked="1"/>
        <c:majorTickMark val="none"/>
        <c:minorTickMark val="none"/>
        <c:tickLblPos val="none"/>
        <c:crossAx val="36890496"/>
        <c:crosses val="autoZero"/>
        <c:crossBetween val="between"/>
      </c:valAx>
    </c:plotArea>
    <c:legend>
      <c:legendPos val="b"/>
      <c:overlay val="0"/>
    </c:legend>
    <c:plotVisOnly val="1"/>
    <c:dispBlanksAs val="gap"/>
    <c:showDLblsOverMax val="0"/>
  </c:chart>
  <c:spPr>
    <a:ln>
      <a:noFill/>
    </a:ln>
  </c:spPr>
  <c:txPr>
    <a:bodyPr/>
    <a:lstStyle/>
    <a:p>
      <a:pPr>
        <a:defRPr>
          <a:latin typeface="Georgia" pitchFamily="18" charset="0"/>
        </a:defRPr>
      </a:pPr>
      <a:endParaRPr lang="ru-RU"/>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2.0032370953630807E-2"/>
          <c:y val="5.0925925925925923E-2"/>
          <c:w val="0.96637335958005255"/>
          <c:h val="0.75408410118947922"/>
        </c:manualLayout>
      </c:layout>
      <c:barChart>
        <c:barDir val="col"/>
        <c:grouping val="clustered"/>
        <c:varyColors val="0"/>
        <c:ser>
          <c:idx val="0"/>
          <c:order val="0"/>
          <c:tx>
            <c:strRef>
              <c:f>ресурсы!$C$60</c:f>
              <c:strCache>
                <c:ptCount val="1"/>
                <c:pt idx="0">
                  <c:v>2013</c:v>
                </c:pt>
              </c:strCache>
            </c:strRef>
          </c:tx>
          <c:invertIfNegative val="0"/>
          <c:dLbls>
            <c:dLbl>
              <c:idx val="0"/>
              <c:layout>
                <c:manualLayout>
                  <c:x val="0"/>
                  <c:y val="0.48588149885519638"/>
                </c:manualLayout>
              </c:layout>
              <c:dLblPos val="outEnd"/>
              <c:showLegendKey val="0"/>
              <c:showVal val="1"/>
              <c:showCatName val="0"/>
              <c:showSerName val="0"/>
              <c:showPercent val="0"/>
              <c:showBubbleSize val="0"/>
            </c:dLbl>
            <c:dLbl>
              <c:idx val="1"/>
              <c:layout>
                <c:manualLayout>
                  <c:x val="0"/>
                  <c:y val="0.15554632266711346"/>
                </c:manualLayout>
              </c:layout>
              <c:dLblPos val="outEnd"/>
              <c:showLegendKey val="0"/>
              <c:showVal val="1"/>
              <c:showCatName val="0"/>
              <c:showSerName val="0"/>
              <c:showPercent val="0"/>
              <c:showBubbleSize val="0"/>
            </c:dLbl>
            <c:dLbl>
              <c:idx val="2"/>
              <c:layout>
                <c:manualLayout>
                  <c:x val="0"/>
                  <c:y val="0.30496364550175908"/>
                </c:manualLayout>
              </c:layout>
              <c:dLblPos val="outEnd"/>
              <c:showLegendKey val="0"/>
              <c:showVal val="1"/>
              <c:showCatName val="0"/>
              <c:showSerName val="0"/>
              <c:showPercent val="0"/>
              <c:showBubbleSize val="0"/>
            </c:dLbl>
            <c:dLbl>
              <c:idx val="3"/>
              <c:layout>
                <c:manualLayout>
                  <c:x val="-2.1872265966754156E-7"/>
                  <c:y val="0.10577003406489083"/>
                </c:manualLayout>
              </c:layout>
              <c:dLblPos val="outEnd"/>
              <c:showLegendKey val="0"/>
              <c:showVal val="1"/>
              <c:showCatName val="0"/>
              <c:showSerName val="0"/>
              <c:showPercent val="0"/>
              <c:showBubbleSize val="0"/>
            </c:dLbl>
            <c:txPr>
              <a:bodyPr/>
              <a:lstStyle/>
              <a:p>
                <a:pPr>
                  <a:defRPr b="1">
                    <a:solidFill>
                      <a:schemeClr val="bg1"/>
                    </a:solidFill>
                  </a:defRPr>
                </a:pPr>
                <a:endParaRPr lang="ru-RU"/>
              </a:p>
            </c:txPr>
            <c:dLblPos val="inBase"/>
            <c:showLegendKey val="0"/>
            <c:showVal val="1"/>
            <c:showCatName val="0"/>
            <c:showSerName val="0"/>
            <c:showPercent val="0"/>
            <c:showBubbleSize val="0"/>
            <c:showLeaderLines val="0"/>
          </c:dLbls>
          <c:cat>
            <c:strRef>
              <c:f>ресурсы!$B$61:$B$64</c:f>
              <c:strCache>
                <c:ptCount val="4"/>
                <c:pt idx="0">
                  <c:v>электроэнергия</c:v>
                </c:pt>
                <c:pt idx="1">
                  <c:v>теплоэнергия</c:v>
                </c:pt>
                <c:pt idx="2">
                  <c:v>бензин </c:v>
                </c:pt>
                <c:pt idx="3">
                  <c:v>ДТ </c:v>
                </c:pt>
              </c:strCache>
            </c:strRef>
          </c:cat>
          <c:val>
            <c:numRef>
              <c:f>ресурсы!$C$61:$C$64</c:f>
              <c:numCache>
                <c:formatCode>#,##0.0</c:formatCode>
                <c:ptCount val="4"/>
                <c:pt idx="0">
                  <c:v>4.3556000000000008</c:v>
                </c:pt>
                <c:pt idx="1">
                  <c:v>1.1897</c:v>
                </c:pt>
                <c:pt idx="2">
                  <c:v>2.7645</c:v>
                </c:pt>
                <c:pt idx="3">
                  <c:v>0.80689999999999995</c:v>
                </c:pt>
              </c:numCache>
            </c:numRef>
          </c:val>
        </c:ser>
        <c:ser>
          <c:idx val="1"/>
          <c:order val="1"/>
          <c:tx>
            <c:strRef>
              <c:f>ресурсы!$D$60</c:f>
              <c:strCache>
                <c:ptCount val="1"/>
                <c:pt idx="0">
                  <c:v>2014</c:v>
                </c:pt>
              </c:strCache>
            </c:strRef>
          </c:tx>
          <c:spPr>
            <a:solidFill>
              <a:schemeClr val="accent1">
                <a:lumMod val="40000"/>
                <a:lumOff val="60000"/>
              </a:schemeClr>
            </a:solidFill>
          </c:spPr>
          <c:invertIfNegative val="0"/>
          <c:dLbls>
            <c:dLbl>
              <c:idx val="0"/>
              <c:layout>
                <c:manualLayout>
                  <c:x val="0"/>
                  <c:y val="0.47932987100016755"/>
                </c:manualLayout>
              </c:layout>
              <c:dLblPos val="outEnd"/>
              <c:showLegendKey val="0"/>
              <c:showVal val="1"/>
              <c:showCatName val="0"/>
              <c:showSerName val="0"/>
              <c:showPercent val="0"/>
              <c:showBubbleSize val="0"/>
            </c:dLbl>
            <c:dLbl>
              <c:idx val="1"/>
              <c:layout>
                <c:manualLayout>
                  <c:x val="0"/>
                  <c:y val="0.16654358630703084"/>
                </c:manualLayout>
              </c:layout>
              <c:dLblPos val="outEnd"/>
              <c:showLegendKey val="0"/>
              <c:showVal val="1"/>
              <c:showCatName val="0"/>
              <c:showSerName val="0"/>
              <c:showPercent val="0"/>
              <c:showBubbleSize val="0"/>
            </c:dLbl>
            <c:dLbl>
              <c:idx val="2"/>
              <c:layout>
                <c:manualLayout>
                  <c:x val="0"/>
                  <c:y val="0.37013949852013173"/>
                </c:manualLayout>
              </c:layout>
              <c:dLblPos val="outEnd"/>
              <c:showLegendKey val="0"/>
              <c:showVal val="1"/>
              <c:showCatName val="0"/>
              <c:showSerName val="0"/>
              <c:showPercent val="0"/>
              <c:showBubbleSize val="0"/>
            </c:dLbl>
            <c:dLbl>
              <c:idx val="3"/>
              <c:layout>
                <c:manualLayout>
                  <c:x val="0"/>
                  <c:y val="0.10141196180264711"/>
                </c:manualLayout>
              </c:layout>
              <c:dLblPos val="outEnd"/>
              <c:showLegendKey val="0"/>
              <c:showVal val="1"/>
              <c:showCatName val="0"/>
              <c:showSerName val="0"/>
              <c:showPercent val="0"/>
              <c:showBubbleSize val="0"/>
            </c:dLbl>
            <c:txPr>
              <a:bodyPr/>
              <a:lstStyle/>
              <a:p>
                <a:pPr>
                  <a:defRPr b="1"/>
                </a:pPr>
                <a:endParaRPr lang="ru-RU"/>
              </a:p>
            </c:txPr>
            <c:dLblPos val="inBase"/>
            <c:showLegendKey val="0"/>
            <c:showVal val="1"/>
            <c:showCatName val="0"/>
            <c:showSerName val="0"/>
            <c:showPercent val="0"/>
            <c:showBubbleSize val="0"/>
            <c:showLeaderLines val="0"/>
          </c:dLbls>
          <c:cat>
            <c:strRef>
              <c:f>ресурсы!$B$61:$B$64</c:f>
              <c:strCache>
                <c:ptCount val="4"/>
                <c:pt idx="0">
                  <c:v>электроэнергия</c:v>
                </c:pt>
                <c:pt idx="1">
                  <c:v>теплоэнергия</c:v>
                </c:pt>
                <c:pt idx="2">
                  <c:v>бензин </c:v>
                </c:pt>
                <c:pt idx="3">
                  <c:v>ДТ </c:v>
                </c:pt>
              </c:strCache>
            </c:strRef>
          </c:cat>
          <c:val>
            <c:numRef>
              <c:f>ресурсы!$D$61:$D$64</c:f>
              <c:numCache>
                <c:formatCode>#,##0.0</c:formatCode>
                <c:ptCount val="4"/>
                <c:pt idx="0">
                  <c:v>4.1065126694915302</c:v>
                </c:pt>
                <c:pt idx="1">
                  <c:v>1.3361092288135601</c:v>
                </c:pt>
                <c:pt idx="2">
                  <c:v>3.06760289830508</c:v>
                </c:pt>
                <c:pt idx="3">
                  <c:v>0.53402122881355896</c:v>
                </c:pt>
              </c:numCache>
            </c:numRef>
          </c:val>
        </c:ser>
        <c:ser>
          <c:idx val="2"/>
          <c:order val="2"/>
          <c:tx>
            <c:strRef>
              <c:f>ресурсы!$E$60</c:f>
              <c:strCache>
                <c:ptCount val="1"/>
                <c:pt idx="0">
                  <c:v>2015</c:v>
                </c:pt>
              </c:strCache>
            </c:strRef>
          </c:tx>
          <c:spPr>
            <a:solidFill>
              <a:srgbClr val="00B050"/>
            </a:solidFill>
          </c:spPr>
          <c:invertIfNegative val="0"/>
          <c:dLbls>
            <c:dLbl>
              <c:idx val="0"/>
              <c:layout>
                <c:manualLayout>
                  <c:x val="0"/>
                  <c:y val="0.62035673200424413"/>
                </c:manualLayout>
              </c:layout>
              <c:dLblPos val="outEnd"/>
              <c:showLegendKey val="0"/>
              <c:showVal val="1"/>
              <c:showCatName val="0"/>
              <c:showSerName val="0"/>
              <c:showPercent val="0"/>
              <c:showBubbleSize val="0"/>
            </c:dLbl>
            <c:dLbl>
              <c:idx val="1"/>
              <c:layout>
                <c:manualLayout>
                  <c:x val="-5.0925337632080051E-17"/>
                  <c:y val="0.22084413916345569"/>
                </c:manualLayout>
              </c:layout>
              <c:dLblPos val="outEnd"/>
              <c:showLegendKey val="0"/>
              <c:showVal val="1"/>
              <c:showCatName val="0"/>
              <c:showSerName val="0"/>
              <c:showPercent val="0"/>
              <c:showBubbleSize val="0"/>
            </c:dLbl>
            <c:dLbl>
              <c:idx val="2"/>
              <c:layout>
                <c:manualLayout>
                  <c:x val="0"/>
                  <c:y val="0.32443893449489025"/>
                </c:manualLayout>
              </c:layout>
              <c:dLblPos val="outEnd"/>
              <c:showLegendKey val="0"/>
              <c:showVal val="1"/>
              <c:showCatName val="0"/>
              <c:showSerName val="0"/>
              <c:showPercent val="0"/>
              <c:showBubbleSize val="0"/>
            </c:dLbl>
            <c:dLbl>
              <c:idx val="3"/>
              <c:layout>
                <c:manualLayout>
                  <c:x val="2.7777777777777779E-3"/>
                  <c:y val="6.7849667727704246E-2"/>
                </c:manualLayout>
              </c:layout>
              <c:spPr/>
              <c:txPr>
                <a:bodyPr/>
                <a:lstStyle/>
                <a:p>
                  <a:pPr>
                    <a:defRPr b="1">
                      <a:solidFill>
                        <a:sysClr val="windowText" lastClr="000000"/>
                      </a:solidFill>
                    </a:defRPr>
                  </a:pPr>
                  <a:endParaRPr lang="ru-RU"/>
                </a:p>
              </c:txPr>
              <c:dLblPos val="outEnd"/>
              <c:showLegendKey val="0"/>
              <c:showVal val="1"/>
              <c:showCatName val="0"/>
              <c:showSerName val="0"/>
              <c:showPercent val="0"/>
              <c:showBubbleSize val="0"/>
            </c:dLbl>
            <c:txPr>
              <a:bodyPr/>
              <a:lstStyle/>
              <a:p>
                <a:pPr>
                  <a:defRPr b="1">
                    <a:solidFill>
                      <a:schemeClr val="bg1"/>
                    </a:solidFill>
                  </a:defRPr>
                </a:pPr>
                <a:endParaRPr lang="ru-RU"/>
              </a:p>
            </c:txPr>
            <c:dLblPos val="inBase"/>
            <c:showLegendKey val="0"/>
            <c:showVal val="1"/>
            <c:showCatName val="0"/>
            <c:showSerName val="0"/>
            <c:showPercent val="0"/>
            <c:showBubbleSize val="0"/>
            <c:showLeaderLines val="0"/>
          </c:dLbls>
          <c:cat>
            <c:strRef>
              <c:f>ресурсы!$B$61:$B$64</c:f>
              <c:strCache>
                <c:ptCount val="4"/>
                <c:pt idx="0">
                  <c:v>электроэнергия</c:v>
                </c:pt>
                <c:pt idx="1">
                  <c:v>теплоэнергия</c:v>
                </c:pt>
                <c:pt idx="2">
                  <c:v>бензин </c:v>
                </c:pt>
                <c:pt idx="3">
                  <c:v>ДТ </c:v>
                </c:pt>
              </c:strCache>
            </c:strRef>
          </c:cat>
          <c:val>
            <c:numRef>
              <c:f>ресурсы!$E$61:$E$64</c:f>
              <c:numCache>
                <c:formatCode>#,##0.0</c:formatCode>
                <c:ptCount val="4"/>
                <c:pt idx="0">
                  <c:v>5.2624774661016902</c:v>
                </c:pt>
                <c:pt idx="1">
                  <c:v>1.6444466496610199</c:v>
                </c:pt>
                <c:pt idx="2">
                  <c:v>3.1412774199999998</c:v>
                </c:pt>
                <c:pt idx="3">
                  <c:v>0.31054147999999998</c:v>
                </c:pt>
              </c:numCache>
            </c:numRef>
          </c:val>
        </c:ser>
        <c:dLbls>
          <c:showLegendKey val="0"/>
          <c:showVal val="0"/>
          <c:showCatName val="0"/>
          <c:showSerName val="0"/>
          <c:showPercent val="0"/>
          <c:showBubbleSize val="0"/>
        </c:dLbls>
        <c:gapWidth val="150"/>
        <c:axId val="36944128"/>
        <c:axId val="36958208"/>
      </c:barChart>
      <c:catAx>
        <c:axId val="36944128"/>
        <c:scaling>
          <c:orientation val="minMax"/>
        </c:scaling>
        <c:delete val="0"/>
        <c:axPos val="b"/>
        <c:numFmt formatCode="General" sourceLinked="1"/>
        <c:majorTickMark val="out"/>
        <c:minorTickMark val="none"/>
        <c:tickLblPos val="nextTo"/>
        <c:crossAx val="36958208"/>
        <c:crosses val="autoZero"/>
        <c:auto val="1"/>
        <c:lblAlgn val="ctr"/>
        <c:lblOffset val="100"/>
        <c:noMultiLvlLbl val="0"/>
      </c:catAx>
      <c:valAx>
        <c:axId val="36958208"/>
        <c:scaling>
          <c:orientation val="minMax"/>
        </c:scaling>
        <c:delete val="1"/>
        <c:axPos val="l"/>
        <c:numFmt formatCode="#,##0.0" sourceLinked="1"/>
        <c:majorTickMark val="out"/>
        <c:minorTickMark val="none"/>
        <c:tickLblPos val="none"/>
        <c:crossAx val="36944128"/>
        <c:crosses val="autoZero"/>
        <c:crossBetween val="between"/>
      </c:valAx>
    </c:plotArea>
    <c:legend>
      <c:legendPos val="r"/>
      <c:layout>
        <c:manualLayout>
          <c:xMode val="edge"/>
          <c:yMode val="edge"/>
          <c:x val="3.0723972003499989E-3"/>
          <c:y val="0.91727107028288168"/>
          <c:w val="0.98859426946631657"/>
          <c:h val="8.2124526100904066E-2"/>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layout/>
      <c:overlay val="0"/>
    </c:title>
    <c:autoTitleDeleted val="0"/>
    <c:plotArea>
      <c:layout/>
      <c:barChart>
        <c:barDir val="bar"/>
        <c:grouping val="clustered"/>
        <c:varyColors val="1"/>
        <c:ser>
          <c:idx val="0"/>
          <c:order val="0"/>
          <c:tx>
            <c:strRef>
              <c:f>Лист1!$A$24</c:f>
              <c:strCache>
                <c:ptCount val="1"/>
                <c:pt idx="0">
                  <c:v>Активы на 1 сотрудника</c:v>
                </c:pt>
              </c:strCache>
            </c:strRef>
          </c:tx>
          <c:invertIfNegative val="0"/>
          <c:dPt>
            <c:idx val="0"/>
            <c:invertIfNegative val="0"/>
            <c:bubble3D val="0"/>
            <c:spPr>
              <a:solidFill>
                <a:srgbClr val="00B050"/>
              </a:solidFill>
            </c:spPr>
          </c:dPt>
          <c:dLbls>
            <c:dLbl>
              <c:idx val="0"/>
              <c:layout/>
              <c:tx>
                <c:rich>
                  <a:bodyPr/>
                  <a:lstStyle/>
                  <a:p>
                    <a:r>
                      <a:rPr lang="en-US"/>
                      <a:t> 67,0   </a:t>
                    </a:r>
                  </a:p>
                </c:rich>
              </c:tx>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Лист1!$B$21:$D$21</c:f>
              <c:numCache>
                <c:formatCode>General</c:formatCode>
                <c:ptCount val="3"/>
                <c:pt idx="0">
                  <c:v>2015</c:v>
                </c:pt>
                <c:pt idx="1">
                  <c:v>2014</c:v>
                </c:pt>
                <c:pt idx="2">
                  <c:v>2013</c:v>
                </c:pt>
              </c:numCache>
            </c:numRef>
          </c:cat>
          <c:val>
            <c:numRef>
              <c:f>Лист1!$B$24:$D$24</c:f>
              <c:numCache>
                <c:formatCode>General</c:formatCode>
                <c:ptCount val="3"/>
                <c:pt idx="0" formatCode="_-* #,##0.0_р_._-;\-* #,##0.0_р_._-;_-* &quot;-&quot;??_р_._-;_-@_-">
                  <c:v>54.8923990092824</c:v>
                </c:pt>
                <c:pt idx="1">
                  <c:v>48.9</c:v>
                </c:pt>
                <c:pt idx="2">
                  <c:v>39</c:v>
                </c:pt>
              </c:numCache>
            </c:numRef>
          </c:val>
        </c:ser>
        <c:dLbls>
          <c:showLegendKey val="0"/>
          <c:showVal val="0"/>
          <c:showCatName val="0"/>
          <c:showSerName val="0"/>
          <c:showPercent val="0"/>
          <c:showBubbleSize val="0"/>
        </c:dLbls>
        <c:gapWidth val="150"/>
        <c:axId val="94291072"/>
        <c:axId val="94292608"/>
      </c:barChart>
      <c:catAx>
        <c:axId val="94291072"/>
        <c:scaling>
          <c:orientation val="minMax"/>
        </c:scaling>
        <c:delete val="0"/>
        <c:axPos val="l"/>
        <c:numFmt formatCode="General" sourceLinked="1"/>
        <c:majorTickMark val="out"/>
        <c:minorTickMark val="none"/>
        <c:tickLblPos val="nextTo"/>
        <c:txPr>
          <a:bodyPr/>
          <a:lstStyle/>
          <a:p>
            <a:pPr>
              <a:defRPr b="1"/>
            </a:pPr>
            <a:endParaRPr lang="ru-RU"/>
          </a:p>
        </c:txPr>
        <c:crossAx val="94292608"/>
        <c:crosses val="autoZero"/>
        <c:auto val="1"/>
        <c:lblAlgn val="ctr"/>
        <c:lblOffset val="100"/>
        <c:noMultiLvlLbl val="0"/>
      </c:catAx>
      <c:valAx>
        <c:axId val="94292608"/>
        <c:scaling>
          <c:orientation val="minMax"/>
        </c:scaling>
        <c:delete val="1"/>
        <c:axPos val="b"/>
        <c:numFmt formatCode="_-* #,##0.0_р_._-;\-* #,##0.0_р_._-;_-* &quot;-&quot;??_р_._-;_-@_-" sourceLinked="1"/>
        <c:majorTickMark val="out"/>
        <c:minorTickMark val="none"/>
        <c:tickLblPos val="nextTo"/>
        <c:crossAx val="94291072"/>
        <c:crosses val="autoZero"/>
        <c:crossBetween val="between"/>
      </c:valAx>
    </c:plotArea>
    <c:plotVisOnly val="1"/>
    <c:dispBlanksAs val="gap"/>
    <c:showDLblsOverMax val="0"/>
  </c:chart>
  <c:spPr>
    <a:ln>
      <a:noFill/>
    </a:ln>
  </c:spPr>
  <c:txPr>
    <a:bodyPr/>
    <a:lstStyle/>
    <a:p>
      <a:pPr>
        <a:defRPr sz="1200">
          <a:latin typeface="Georgia" panose="02040502050405020303"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layout/>
      <c:overlay val="0"/>
    </c:title>
    <c:autoTitleDeleted val="0"/>
    <c:plotArea>
      <c:layout/>
      <c:barChart>
        <c:barDir val="bar"/>
        <c:grouping val="clustered"/>
        <c:varyColors val="1"/>
        <c:ser>
          <c:idx val="0"/>
          <c:order val="0"/>
          <c:tx>
            <c:strRef>
              <c:f>Лист1!$A$25</c:f>
              <c:strCache>
                <c:ptCount val="1"/>
                <c:pt idx="0">
                  <c:v>COST/Активы</c:v>
                </c:pt>
              </c:strCache>
            </c:strRef>
          </c:tx>
          <c:invertIfNegative val="0"/>
          <c:dPt>
            <c:idx val="0"/>
            <c:invertIfNegative val="0"/>
            <c:bubble3D val="0"/>
            <c:spPr>
              <a:solidFill>
                <a:srgbClr val="00B050"/>
              </a:solidFill>
            </c:spPr>
          </c:dPt>
          <c:dLbls>
            <c:dLbl>
              <c:idx val="0"/>
              <c:layout/>
              <c:tx>
                <c:rich>
                  <a:bodyPr/>
                  <a:lstStyle/>
                  <a:p>
                    <a:r>
                      <a:rPr lang="en-US"/>
                      <a:t>1,6%</a:t>
                    </a:r>
                  </a:p>
                </c:rich>
              </c:tx>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Лист1!$B$21:$D$21</c:f>
              <c:numCache>
                <c:formatCode>General</c:formatCode>
                <c:ptCount val="3"/>
                <c:pt idx="0">
                  <c:v>2015</c:v>
                </c:pt>
                <c:pt idx="1">
                  <c:v>2014</c:v>
                </c:pt>
                <c:pt idx="2">
                  <c:v>2013</c:v>
                </c:pt>
              </c:numCache>
            </c:numRef>
          </c:cat>
          <c:val>
            <c:numRef>
              <c:f>Лист1!$B$25:$D$25</c:f>
              <c:numCache>
                <c:formatCode>0%</c:formatCode>
                <c:ptCount val="3"/>
                <c:pt idx="0" formatCode="0.00%">
                  <c:v>1.8744275383381914E-2</c:v>
                </c:pt>
                <c:pt idx="1">
                  <c:v>0.02</c:v>
                </c:pt>
                <c:pt idx="2" formatCode="0.00%">
                  <c:v>2.1999999999999999E-2</c:v>
                </c:pt>
              </c:numCache>
            </c:numRef>
          </c:val>
        </c:ser>
        <c:dLbls>
          <c:showLegendKey val="0"/>
          <c:showVal val="0"/>
          <c:showCatName val="0"/>
          <c:showSerName val="0"/>
          <c:showPercent val="0"/>
          <c:showBubbleSize val="0"/>
        </c:dLbls>
        <c:gapWidth val="150"/>
        <c:axId val="94569984"/>
        <c:axId val="94571520"/>
      </c:barChart>
      <c:catAx>
        <c:axId val="94569984"/>
        <c:scaling>
          <c:orientation val="minMax"/>
        </c:scaling>
        <c:delete val="0"/>
        <c:axPos val="l"/>
        <c:numFmt formatCode="General" sourceLinked="1"/>
        <c:majorTickMark val="out"/>
        <c:minorTickMark val="none"/>
        <c:tickLblPos val="nextTo"/>
        <c:txPr>
          <a:bodyPr/>
          <a:lstStyle/>
          <a:p>
            <a:pPr>
              <a:defRPr b="1"/>
            </a:pPr>
            <a:endParaRPr lang="ru-RU"/>
          </a:p>
        </c:txPr>
        <c:crossAx val="94571520"/>
        <c:crosses val="autoZero"/>
        <c:auto val="1"/>
        <c:lblAlgn val="ctr"/>
        <c:lblOffset val="100"/>
        <c:noMultiLvlLbl val="0"/>
      </c:catAx>
      <c:valAx>
        <c:axId val="94571520"/>
        <c:scaling>
          <c:orientation val="minMax"/>
        </c:scaling>
        <c:delete val="1"/>
        <c:axPos val="b"/>
        <c:numFmt formatCode="0.00%" sourceLinked="1"/>
        <c:majorTickMark val="out"/>
        <c:minorTickMark val="none"/>
        <c:tickLblPos val="nextTo"/>
        <c:crossAx val="94569984"/>
        <c:crosses val="autoZero"/>
        <c:crossBetween val="between"/>
      </c:valAx>
    </c:plotArea>
    <c:plotVisOnly val="1"/>
    <c:dispBlanksAs val="gap"/>
    <c:showDLblsOverMax val="0"/>
  </c:chart>
  <c:spPr>
    <a:ln>
      <a:noFill/>
    </a:ln>
  </c:spPr>
  <c:txPr>
    <a:bodyPr/>
    <a:lstStyle/>
    <a:p>
      <a:pPr>
        <a:defRPr sz="1200">
          <a:latin typeface="Georgia" panose="02040502050405020303"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layout/>
      <c:overlay val="0"/>
    </c:title>
    <c:autoTitleDeleted val="0"/>
    <c:plotArea>
      <c:layout/>
      <c:barChart>
        <c:barDir val="bar"/>
        <c:grouping val="clustered"/>
        <c:varyColors val="1"/>
        <c:ser>
          <c:idx val="0"/>
          <c:order val="0"/>
          <c:tx>
            <c:strRef>
              <c:f>Лист1!$A$16</c:f>
              <c:strCache>
                <c:ptCount val="1"/>
                <c:pt idx="0">
                  <c:v>Чистые комиссионные доходы / Чистый операционный доход</c:v>
                </c:pt>
              </c:strCache>
            </c:strRef>
          </c:tx>
          <c:invertIfNegative val="0"/>
          <c:dPt>
            <c:idx val="0"/>
            <c:invertIfNegative val="0"/>
            <c:bubble3D val="0"/>
            <c:spPr>
              <a:solidFill>
                <a:srgbClr val="00B050"/>
              </a:solidFill>
            </c:spPr>
          </c:dPt>
          <c:dLbls>
            <c:txPr>
              <a:bodyPr/>
              <a:lstStyle/>
              <a:p>
                <a:pPr>
                  <a:defRPr b="1"/>
                </a:pPr>
                <a:endParaRPr lang="ru-RU"/>
              </a:p>
            </c:txPr>
            <c:showLegendKey val="0"/>
            <c:showVal val="1"/>
            <c:showCatName val="0"/>
            <c:showSerName val="0"/>
            <c:showPercent val="0"/>
            <c:showBubbleSize val="0"/>
            <c:showLeaderLines val="0"/>
          </c:dLbls>
          <c:cat>
            <c:numRef>
              <c:f>Лист1!$B$11:$D$11</c:f>
              <c:numCache>
                <c:formatCode>General</c:formatCode>
                <c:ptCount val="3"/>
                <c:pt idx="0">
                  <c:v>2015</c:v>
                </c:pt>
                <c:pt idx="1">
                  <c:v>2014</c:v>
                </c:pt>
                <c:pt idx="2">
                  <c:v>2013</c:v>
                </c:pt>
              </c:numCache>
            </c:numRef>
          </c:cat>
          <c:val>
            <c:numRef>
              <c:f>Лист1!$B$16:$D$16</c:f>
              <c:numCache>
                <c:formatCode>0.0%</c:formatCode>
                <c:ptCount val="3"/>
                <c:pt idx="0">
                  <c:v>0.23842783226249017</c:v>
                </c:pt>
                <c:pt idx="1">
                  <c:v>0.11900348041675009</c:v>
                </c:pt>
                <c:pt idx="2" formatCode="0.00%">
                  <c:v>7.3999999999999996E-2</c:v>
                </c:pt>
              </c:numCache>
            </c:numRef>
          </c:val>
        </c:ser>
        <c:dLbls>
          <c:showLegendKey val="0"/>
          <c:showVal val="0"/>
          <c:showCatName val="0"/>
          <c:showSerName val="0"/>
          <c:showPercent val="0"/>
          <c:showBubbleSize val="0"/>
        </c:dLbls>
        <c:gapWidth val="150"/>
        <c:axId val="94621056"/>
        <c:axId val="94626944"/>
      </c:barChart>
      <c:catAx>
        <c:axId val="94621056"/>
        <c:scaling>
          <c:orientation val="minMax"/>
        </c:scaling>
        <c:delete val="0"/>
        <c:axPos val="l"/>
        <c:numFmt formatCode="General" sourceLinked="1"/>
        <c:majorTickMark val="out"/>
        <c:minorTickMark val="none"/>
        <c:tickLblPos val="nextTo"/>
        <c:txPr>
          <a:bodyPr/>
          <a:lstStyle/>
          <a:p>
            <a:pPr>
              <a:defRPr b="1"/>
            </a:pPr>
            <a:endParaRPr lang="ru-RU"/>
          </a:p>
        </c:txPr>
        <c:crossAx val="94626944"/>
        <c:crosses val="autoZero"/>
        <c:auto val="1"/>
        <c:lblAlgn val="ctr"/>
        <c:lblOffset val="100"/>
        <c:noMultiLvlLbl val="0"/>
      </c:catAx>
      <c:valAx>
        <c:axId val="94626944"/>
        <c:scaling>
          <c:orientation val="minMax"/>
        </c:scaling>
        <c:delete val="1"/>
        <c:axPos val="b"/>
        <c:numFmt formatCode="0.0%" sourceLinked="1"/>
        <c:majorTickMark val="out"/>
        <c:minorTickMark val="none"/>
        <c:tickLblPos val="nextTo"/>
        <c:crossAx val="94621056"/>
        <c:crosses val="autoZero"/>
        <c:crossBetween val="between"/>
      </c:valAx>
    </c:plotArea>
    <c:plotVisOnly val="1"/>
    <c:dispBlanksAs val="gap"/>
    <c:showDLblsOverMax val="0"/>
  </c:chart>
  <c:spPr>
    <a:ln>
      <a:noFill/>
    </a:ln>
  </c:spPr>
  <c:txPr>
    <a:bodyPr/>
    <a:lstStyle/>
    <a:p>
      <a:pPr>
        <a:defRPr sz="1200">
          <a:latin typeface="Georgia" panose="02040502050405020303"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1"/>
    <c:plotArea>
      <c:layout/>
      <c:barChart>
        <c:barDir val="col"/>
        <c:grouping val="clustered"/>
        <c:varyColors val="0"/>
        <c:ser>
          <c:idx val="0"/>
          <c:order val="0"/>
          <c:tx>
            <c:strRef>
              <c:f>Лист2!$A$31</c:f>
              <c:strCache>
                <c:ptCount val="1"/>
                <c:pt idx="0">
                  <c:v>Мир</c:v>
                </c:pt>
              </c:strCache>
            </c:strRef>
          </c:tx>
          <c:invertIfNegative val="0"/>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Лист2!$B$30:$D$30</c:f>
              <c:numCache>
                <c:formatCode>_-* #,##0_р_._-;\-* #,##0_р_._-;_-* "-"??_р_._-;_-@_-</c:formatCode>
                <c:ptCount val="3"/>
                <c:pt idx="0">
                  <c:v>2013</c:v>
                </c:pt>
                <c:pt idx="1">
                  <c:v>2014</c:v>
                </c:pt>
                <c:pt idx="2" formatCode="General">
                  <c:v>2015</c:v>
                </c:pt>
              </c:numCache>
            </c:numRef>
          </c:cat>
          <c:val>
            <c:numRef>
              <c:f>Лист2!$B$31:$D$31</c:f>
              <c:numCache>
                <c:formatCode>_-* #,##0.0_р_._-;\-* #,##0.0_р_._-;_-* "-"??_р_._-;_-@_-</c:formatCode>
                <c:ptCount val="3"/>
                <c:pt idx="0">
                  <c:v>3</c:v>
                </c:pt>
                <c:pt idx="1">
                  <c:v>3.3</c:v>
                </c:pt>
                <c:pt idx="2">
                  <c:v>3.1</c:v>
                </c:pt>
              </c:numCache>
            </c:numRef>
          </c:val>
        </c:ser>
        <c:ser>
          <c:idx val="1"/>
          <c:order val="1"/>
          <c:tx>
            <c:strRef>
              <c:f>Лист2!$A$32</c:f>
              <c:strCache>
                <c:ptCount val="1"/>
                <c:pt idx="0">
                  <c:v>Еврозона</c:v>
                </c:pt>
              </c:strCache>
            </c:strRef>
          </c:tx>
          <c:invertIfNegative val="0"/>
          <c:dLbls>
            <c:dLbl>
              <c:idx val="0"/>
              <c:spPr/>
              <c:txPr>
                <a:bodyPr/>
                <a:lstStyle/>
                <a:p>
                  <a:pPr>
                    <a:defRPr b="1">
                      <a:solidFill>
                        <a:sysClr val="windowText" lastClr="000000"/>
                      </a:solidFill>
                    </a:defRPr>
                  </a:pPr>
                  <a:endParaRPr lang="ru-RU"/>
                </a:p>
              </c:txPr>
              <c:dLblPos val="ctr"/>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Лист2!$B$30:$D$30</c:f>
              <c:numCache>
                <c:formatCode>_-* #,##0_р_._-;\-* #,##0_р_._-;_-* "-"??_р_._-;_-@_-</c:formatCode>
                <c:ptCount val="3"/>
                <c:pt idx="0">
                  <c:v>2013</c:v>
                </c:pt>
                <c:pt idx="1">
                  <c:v>2014</c:v>
                </c:pt>
                <c:pt idx="2" formatCode="General">
                  <c:v>2015</c:v>
                </c:pt>
              </c:numCache>
            </c:numRef>
          </c:cat>
          <c:val>
            <c:numRef>
              <c:f>Лист2!$B$32:$D$32</c:f>
              <c:numCache>
                <c:formatCode>_-* #,##0.0_р_._-;\-* #,##0.0_р_._-;_-* "-"??_р_._-;_-@_-</c:formatCode>
                <c:ptCount val="3"/>
                <c:pt idx="0">
                  <c:v>-0.4</c:v>
                </c:pt>
                <c:pt idx="1">
                  <c:v>0.9</c:v>
                </c:pt>
                <c:pt idx="2">
                  <c:v>1.6</c:v>
                </c:pt>
              </c:numCache>
            </c:numRef>
          </c:val>
        </c:ser>
        <c:ser>
          <c:idx val="2"/>
          <c:order val="2"/>
          <c:tx>
            <c:strRef>
              <c:f>Лист2!$A$33</c:f>
              <c:strCache>
                <c:ptCount val="1"/>
                <c:pt idx="0">
                  <c:v>США</c:v>
                </c:pt>
              </c:strCache>
            </c:strRef>
          </c:tx>
          <c:invertIfNegative val="0"/>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Лист2!$B$30:$D$30</c:f>
              <c:numCache>
                <c:formatCode>_-* #,##0_р_._-;\-* #,##0_р_._-;_-* "-"??_р_._-;_-@_-</c:formatCode>
                <c:ptCount val="3"/>
                <c:pt idx="0">
                  <c:v>2013</c:v>
                </c:pt>
                <c:pt idx="1">
                  <c:v>2014</c:v>
                </c:pt>
                <c:pt idx="2" formatCode="General">
                  <c:v>2015</c:v>
                </c:pt>
              </c:numCache>
            </c:numRef>
          </c:cat>
          <c:val>
            <c:numRef>
              <c:f>Лист2!$B$33:$D$33</c:f>
              <c:numCache>
                <c:formatCode>_-* #,##0.0_р_._-;\-* #,##0.0_р_._-;_-* "-"??_р_._-;_-@_-</c:formatCode>
                <c:ptCount val="3"/>
                <c:pt idx="0">
                  <c:v>1.9</c:v>
                </c:pt>
                <c:pt idx="1">
                  <c:v>2</c:v>
                </c:pt>
                <c:pt idx="2">
                  <c:v>2.4</c:v>
                </c:pt>
              </c:numCache>
            </c:numRef>
          </c:val>
        </c:ser>
        <c:ser>
          <c:idx val="3"/>
          <c:order val="3"/>
          <c:tx>
            <c:strRef>
              <c:f>Лист2!$A$34</c:f>
              <c:strCache>
                <c:ptCount val="1"/>
                <c:pt idx="0">
                  <c:v>Китай</c:v>
                </c:pt>
              </c:strCache>
            </c:strRef>
          </c:tx>
          <c:invertIfNegative val="0"/>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Лист2!$B$30:$D$30</c:f>
              <c:numCache>
                <c:formatCode>_-* #,##0_р_._-;\-* #,##0_р_._-;_-* "-"??_р_._-;_-@_-</c:formatCode>
                <c:ptCount val="3"/>
                <c:pt idx="0">
                  <c:v>2013</c:v>
                </c:pt>
                <c:pt idx="1">
                  <c:v>2014</c:v>
                </c:pt>
                <c:pt idx="2" formatCode="General">
                  <c:v>2015</c:v>
                </c:pt>
              </c:numCache>
            </c:numRef>
          </c:cat>
          <c:val>
            <c:numRef>
              <c:f>Лист2!$B$34:$D$34</c:f>
              <c:numCache>
                <c:formatCode>_-* #,##0.0_р_._-;\-* #,##0.0_р_._-;_-* "-"??_р_._-;_-@_-</c:formatCode>
                <c:ptCount val="3"/>
                <c:pt idx="0">
                  <c:v>7.7</c:v>
                </c:pt>
                <c:pt idx="1">
                  <c:v>7.2</c:v>
                </c:pt>
                <c:pt idx="2">
                  <c:v>6.9</c:v>
                </c:pt>
              </c:numCache>
            </c:numRef>
          </c:val>
        </c:ser>
        <c:ser>
          <c:idx val="4"/>
          <c:order val="4"/>
          <c:tx>
            <c:strRef>
              <c:f>Лист2!$A$35</c:f>
              <c:strCache>
                <c:ptCount val="1"/>
                <c:pt idx="0">
                  <c:v>РФ</c:v>
                </c:pt>
              </c:strCache>
            </c:strRef>
          </c:tx>
          <c:spPr>
            <a:solidFill>
              <a:srgbClr val="00B050"/>
            </a:solidFill>
          </c:spPr>
          <c:invertIfNegative val="0"/>
          <c:dLbls>
            <c:dLbl>
              <c:idx val="1"/>
              <c:layout>
                <c:manualLayout>
                  <c:x val="-1.8340213560956082E-3"/>
                  <c:y val="5.0181960539929453E-2"/>
                </c:manualLayout>
              </c:layout>
              <c:dLblPos val="outEnd"/>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Лист2!$B$30:$D$30</c:f>
              <c:numCache>
                <c:formatCode>_-* #,##0_р_._-;\-* #,##0_р_._-;_-* "-"??_р_._-;_-@_-</c:formatCode>
                <c:ptCount val="3"/>
                <c:pt idx="0">
                  <c:v>2013</c:v>
                </c:pt>
                <c:pt idx="1">
                  <c:v>2014</c:v>
                </c:pt>
                <c:pt idx="2" formatCode="General">
                  <c:v>2015</c:v>
                </c:pt>
              </c:numCache>
            </c:numRef>
          </c:cat>
          <c:val>
            <c:numRef>
              <c:f>Лист2!$B$35:$D$35</c:f>
              <c:numCache>
                <c:formatCode>_-* #,##0.0_р_._-;\-* #,##0.0_р_._-;_-* "-"??_р_._-;_-@_-</c:formatCode>
                <c:ptCount val="3"/>
                <c:pt idx="0">
                  <c:v>1.3</c:v>
                </c:pt>
                <c:pt idx="1">
                  <c:v>0.7</c:v>
                </c:pt>
                <c:pt idx="2">
                  <c:v>-3.7</c:v>
                </c:pt>
              </c:numCache>
            </c:numRef>
          </c:val>
        </c:ser>
        <c:dLbls>
          <c:showLegendKey val="0"/>
          <c:showVal val="0"/>
          <c:showCatName val="0"/>
          <c:showSerName val="0"/>
          <c:showPercent val="0"/>
          <c:showBubbleSize val="0"/>
        </c:dLbls>
        <c:gapWidth val="100"/>
        <c:axId val="35846400"/>
        <c:axId val="35590144"/>
      </c:barChart>
      <c:catAx>
        <c:axId val="35846400"/>
        <c:scaling>
          <c:orientation val="minMax"/>
        </c:scaling>
        <c:delete val="0"/>
        <c:axPos val="b"/>
        <c:numFmt formatCode="_-* #,##0_р_._-;\-* #,##0_р_._-;_-* &quot;-&quot;??_р_._-;_-@_-" sourceLinked="1"/>
        <c:majorTickMark val="out"/>
        <c:minorTickMark val="none"/>
        <c:tickLblPos val="nextTo"/>
        <c:crossAx val="35590144"/>
        <c:crosses val="autoZero"/>
        <c:auto val="1"/>
        <c:lblAlgn val="ctr"/>
        <c:lblOffset val="500"/>
        <c:noMultiLvlLbl val="0"/>
      </c:catAx>
      <c:valAx>
        <c:axId val="35590144"/>
        <c:scaling>
          <c:orientation val="minMax"/>
        </c:scaling>
        <c:delete val="0"/>
        <c:axPos val="l"/>
        <c:numFmt formatCode="_-* #,##0.0_р_._-;\-* #,##0.0_р_._-;_-* &quot;-&quot;??_р_._-;_-@_-" sourceLinked="1"/>
        <c:majorTickMark val="out"/>
        <c:minorTickMark val="none"/>
        <c:tickLblPos val="nextTo"/>
        <c:crossAx val="35846400"/>
        <c:crosses val="autoZero"/>
        <c:crossBetween val="between"/>
      </c:valAx>
    </c:plotArea>
    <c:legend>
      <c:legendPos val="r"/>
      <c:layout/>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col"/>
        <c:grouping val="clustered"/>
        <c:varyColors val="0"/>
        <c:ser>
          <c:idx val="1"/>
          <c:order val="1"/>
          <c:tx>
            <c:strRef>
              <c:f>Лист2!$A$62</c:f>
              <c:strCache>
                <c:ptCount val="1"/>
                <c:pt idx="0">
                  <c:v>Добыча полезных ископаемых</c:v>
                </c:pt>
              </c:strCache>
            </c:strRef>
          </c:tx>
          <c:invertIfNegative val="0"/>
          <c:dLbls>
            <c:dLbl>
              <c:idx val="2"/>
              <c:layout>
                <c:manualLayout>
                  <c:x val="0"/>
                  <c:y val="1.1961261969563547E-2"/>
                </c:manualLayout>
              </c:layout>
              <c:spPr/>
              <c:txPr>
                <a:bodyPr/>
                <a:lstStyle/>
                <a:p>
                  <a:pPr>
                    <a:defRPr b="1">
                      <a:solidFill>
                        <a:sysClr val="windowText" lastClr="000000"/>
                      </a:solidFill>
                    </a:defRPr>
                  </a:pPr>
                  <a:endParaRPr lang="ru-RU"/>
                </a:p>
              </c:txPr>
              <c:dLblPos val="outEnd"/>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Лист2!$B$62:$D$62</c:f>
              <c:numCache>
                <c:formatCode>General</c:formatCode>
                <c:ptCount val="3"/>
                <c:pt idx="0">
                  <c:v>1.1000000000000001</c:v>
                </c:pt>
                <c:pt idx="1">
                  <c:v>0.6</c:v>
                </c:pt>
                <c:pt idx="2">
                  <c:v>0.3</c:v>
                </c:pt>
              </c:numCache>
            </c:numRef>
          </c:val>
        </c:ser>
        <c:ser>
          <c:idx val="2"/>
          <c:order val="2"/>
          <c:tx>
            <c:strRef>
              <c:f>Лист2!$A$63</c:f>
              <c:strCache>
                <c:ptCount val="1"/>
                <c:pt idx="0">
                  <c:v>Обрабатывающие производства</c:v>
                </c:pt>
              </c:strCache>
            </c:strRef>
          </c:tx>
          <c:invertIfNegative val="0"/>
          <c:dLbls>
            <c:dLbl>
              <c:idx val="0"/>
              <c:layout>
                <c:manualLayout>
                  <c:x val="0"/>
                  <c:y val="6.4327111602908479E-2"/>
                </c:manualLayout>
              </c:layout>
              <c:dLblPos val="outEnd"/>
              <c:showLegendKey val="0"/>
              <c:showVal val="1"/>
              <c:showCatName val="0"/>
              <c:showSerName val="0"/>
              <c:showPercent val="0"/>
              <c:showBubbleSize val="0"/>
            </c:dLbl>
            <c:dLbl>
              <c:idx val="1"/>
              <c:layout>
                <c:manualLayout>
                  <c:x val="0"/>
                  <c:y val="0.16154805649293838"/>
                </c:manualLayout>
              </c:layout>
              <c:dLblPos val="outEnd"/>
              <c:showLegendKey val="0"/>
              <c:showVal val="1"/>
              <c:showCatName val="0"/>
              <c:showSerName val="0"/>
              <c:showPercent val="0"/>
              <c:showBubbleSize val="0"/>
            </c:dLbl>
            <c:dLbl>
              <c:idx val="2"/>
              <c:layout>
                <c:manualLayout>
                  <c:x val="0"/>
                  <c:y val="0.28582377202849646"/>
                </c:manualLayout>
              </c:layout>
              <c:dLblPos val="outEnd"/>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Лист2!$B$63:$D$63</c:f>
              <c:numCache>
                <c:formatCode>General</c:formatCode>
                <c:ptCount val="3"/>
                <c:pt idx="0">
                  <c:v>0.5</c:v>
                </c:pt>
                <c:pt idx="1">
                  <c:v>2.6</c:v>
                </c:pt>
                <c:pt idx="2">
                  <c:v>-5.4</c:v>
                </c:pt>
              </c:numCache>
            </c:numRef>
          </c:val>
        </c:ser>
        <c:ser>
          <c:idx val="3"/>
          <c:order val="3"/>
          <c:tx>
            <c:strRef>
              <c:f>Лист2!$A$64</c:f>
              <c:strCache>
                <c:ptCount val="1"/>
                <c:pt idx="0">
                  <c:v>Производство и распределение электроэнергии, газа и воды</c:v>
                </c:pt>
              </c:strCache>
            </c:strRef>
          </c:tx>
          <c:invertIfNegative val="0"/>
          <c:dLbls>
            <c:dLbl>
              <c:idx val="1"/>
              <c:layout>
                <c:manualLayout>
                  <c:x val="0"/>
                  <c:y val="5.5230346206724158E-2"/>
                </c:manualLayout>
              </c:layout>
              <c:dLblPos val="outEnd"/>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Лист2!$B$64:$D$64</c:f>
              <c:numCache>
                <c:formatCode>General</c:formatCode>
                <c:ptCount val="3"/>
                <c:pt idx="0">
                  <c:v>-2.5</c:v>
                </c:pt>
                <c:pt idx="1">
                  <c:v>-0.6</c:v>
                </c:pt>
                <c:pt idx="2">
                  <c:v>-1.6</c:v>
                </c:pt>
              </c:numCache>
            </c:numRef>
          </c:val>
        </c:ser>
        <c:dLbls>
          <c:showLegendKey val="0"/>
          <c:showVal val="0"/>
          <c:showCatName val="0"/>
          <c:showSerName val="0"/>
          <c:showPercent val="0"/>
          <c:showBubbleSize val="0"/>
        </c:dLbls>
        <c:gapWidth val="100"/>
        <c:axId val="35635968"/>
        <c:axId val="35637504"/>
      </c:barChart>
      <c:lineChart>
        <c:grouping val="standard"/>
        <c:varyColors val="0"/>
        <c:ser>
          <c:idx val="0"/>
          <c:order val="0"/>
          <c:tx>
            <c:strRef>
              <c:f>Лист2!$A$61</c:f>
              <c:strCache>
                <c:ptCount val="1"/>
                <c:pt idx="0">
                  <c:v>Индекс промышленного производства</c:v>
                </c:pt>
              </c:strCache>
            </c:strRef>
          </c:tx>
          <c:spPr>
            <a:ln>
              <a:solidFill>
                <a:srgbClr val="00B050"/>
              </a:solidFill>
            </a:ln>
          </c:spPr>
          <c:marker>
            <c:symbol val="circle"/>
            <c:size val="5"/>
            <c:spPr>
              <a:solidFill>
                <a:srgbClr val="00B050"/>
              </a:solidFill>
            </c:spPr>
          </c:marker>
          <c:dLbls>
            <c:dLbl>
              <c:idx val="0"/>
              <c:layout>
                <c:manualLayout>
                  <c:x val="-2.0236087689713321E-2"/>
                  <c:y val="-4.7562419746218915E-2"/>
                </c:manualLayout>
              </c:layout>
              <c:showLegendKey val="0"/>
              <c:showVal val="1"/>
              <c:showCatName val="0"/>
              <c:showSerName val="0"/>
              <c:showPercent val="0"/>
              <c:showBubbleSize val="0"/>
            </c:dLbl>
            <c:dLbl>
              <c:idx val="1"/>
              <c:layout>
                <c:manualLayout>
                  <c:x val="2.4732996065205171E-2"/>
                  <c:y val="9.5125609298837791E-3"/>
                </c:manualLayout>
              </c:layout>
              <c:showLegendKey val="0"/>
              <c:showVal val="1"/>
              <c:showCatName val="0"/>
              <c:showSerName val="0"/>
              <c:showPercent val="0"/>
              <c:showBubbleSize val="0"/>
            </c:dLbl>
            <c:dLbl>
              <c:idx val="2"/>
              <c:layout>
                <c:manualLayout>
                  <c:x val="-0.10567734682405847"/>
                  <c:y val="3.1746031746031746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Лист2!$B$61:$D$61</c:f>
              <c:numCache>
                <c:formatCode>General</c:formatCode>
                <c:ptCount val="3"/>
                <c:pt idx="0">
                  <c:v>0.4</c:v>
                </c:pt>
                <c:pt idx="1">
                  <c:v>1.7</c:v>
                </c:pt>
                <c:pt idx="2">
                  <c:v>-3.4</c:v>
                </c:pt>
              </c:numCache>
            </c:numRef>
          </c:val>
          <c:smooth val="0"/>
        </c:ser>
        <c:dLbls>
          <c:showLegendKey val="0"/>
          <c:showVal val="0"/>
          <c:showCatName val="0"/>
          <c:showSerName val="0"/>
          <c:showPercent val="0"/>
          <c:showBubbleSize val="0"/>
        </c:dLbls>
        <c:marker val="1"/>
        <c:smooth val="0"/>
        <c:axId val="35635968"/>
        <c:axId val="35637504"/>
      </c:lineChart>
      <c:catAx>
        <c:axId val="35635968"/>
        <c:scaling>
          <c:orientation val="minMax"/>
        </c:scaling>
        <c:delete val="0"/>
        <c:axPos val="b"/>
        <c:numFmt formatCode="General" sourceLinked="1"/>
        <c:majorTickMark val="out"/>
        <c:minorTickMark val="none"/>
        <c:tickLblPos val="nextTo"/>
        <c:crossAx val="35637504"/>
        <c:crosses val="autoZero"/>
        <c:auto val="1"/>
        <c:lblAlgn val="ctr"/>
        <c:lblOffset val="100"/>
        <c:noMultiLvlLbl val="0"/>
      </c:catAx>
      <c:valAx>
        <c:axId val="35637504"/>
        <c:scaling>
          <c:orientation val="minMax"/>
        </c:scaling>
        <c:delete val="0"/>
        <c:axPos val="l"/>
        <c:numFmt formatCode="General" sourceLinked="1"/>
        <c:majorTickMark val="out"/>
        <c:minorTickMark val="none"/>
        <c:tickLblPos val="nextTo"/>
        <c:crossAx val="35635968"/>
        <c:crosses val="autoZero"/>
        <c:crossBetween val="between"/>
      </c:valAx>
    </c:plotArea>
    <c:legend>
      <c:legendPos val="b"/>
      <c:layout/>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barChart>
        <c:barDir val="col"/>
        <c:grouping val="clustered"/>
        <c:varyColors val="0"/>
        <c:ser>
          <c:idx val="1"/>
          <c:order val="1"/>
          <c:tx>
            <c:strRef>
              <c:f>Лист2!$A$69</c:f>
              <c:strCache>
                <c:ptCount val="1"/>
                <c:pt idx="0">
                  <c:v>Реальная заработная плата</c:v>
                </c:pt>
              </c:strCache>
            </c:strRef>
          </c:tx>
          <c:spPr>
            <a:ln>
              <a:noFill/>
            </a:ln>
          </c:spPr>
          <c:invertIfNegative val="0"/>
          <c:dLbls>
            <c:dLbl>
              <c:idx val="1"/>
              <c:layout>
                <c:manualLayout>
                  <c:x val="8.3333333333333332E-3"/>
                  <c:y val="7.8686570428696409E-2"/>
                </c:manualLayout>
              </c:layout>
              <c:dLblPos val="outEnd"/>
              <c:showLegendKey val="0"/>
              <c:showVal val="1"/>
              <c:showCatName val="0"/>
              <c:showSerName val="0"/>
              <c:showPercent val="0"/>
              <c:showBubbleSize val="0"/>
            </c:dLbl>
            <c:dLbl>
              <c:idx val="2"/>
              <c:layout>
                <c:manualLayout>
                  <c:x val="0"/>
                  <c:y val="0.24417979002624679"/>
                </c:manualLayout>
              </c:layout>
              <c:dLblPos val="outEnd"/>
              <c:showLegendKey val="0"/>
              <c:showVal val="1"/>
              <c:showCatName val="0"/>
              <c:showSerName val="0"/>
              <c:showPercent val="0"/>
              <c:showBubbleSize val="0"/>
            </c:dLbl>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Лист2!$B$69:$D$69</c:f>
              <c:numCache>
                <c:formatCode>General</c:formatCode>
                <c:ptCount val="3"/>
                <c:pt idx="0">
                  <c:v>4.8</c:v>
                </c:pt>
                <c:pt idx="1">
                  <c:v>1.3</c:v>
                </c:pt>
                <c:pt idx="2">
                  <c:v>-9.5</c:v>
                </c:pt>
              </c:numCache>
            </c:numRef>
          </c:val>
        </c:ser>
        <c:dLbls>
          <c:showLegendKey val="0"/>
          <c:showVal val="0"/>
          <c:showCatName val="0"/>
          <c:showSerName val="0"/>
          <c:showPercent val="0"/>
          <c:showBubbleSize val="0"/>
        </c:dLbls>
        <c:gapWidth val="100"/>
        <c:axId val="35672448"/>
        <c:axId val="35673984"/>
      </c:barChart>
      <c:lineChart>
        <c:grouping val="standard"/>
        <c:varyColors val="0"/>
        <c:ser>
          <c:idx val="0"/>
          <c:order val="0"/>
          <c:tx>
            <c:strRef>
              <c:f>Лист2!$A$68</c:f>
              <c:strCache>
                <c:ptCount val="1"/>
                <c:pt idx="0">
                  <c:v>Реальные располагаемые доходы населения</c:v>
                </c:pt>
              </c:strCache>
            </c:strRef>
          </c:tx>
          <c:spPr>
            <a:ln>
              <a:solidFill>
                <a:srgbClr val="00B050"/>
              </a:solidFill>
            </a:ln>
          </c:spPr>
          <c:marker>
            <c:symbol val="circle"/>
            <c:size val="5"/>
            <c:spPr>
              <a:solidFill>
                <a:srgbClr val="00B050"/>
              </a:solidFill>
            </c:spPr>
          </c:marker>
          <c:dLbls>
            <c:dLbl>
              <c:idx val="0"/>
              <c:layout>
                <c:manualLayout>
                  <c:x val="-2.7777777777777779E-3"/>
                  <c:y val="-4.166703120443279E-2"/>
                </c:manualLayout>
              </c:layout>
              <c:showLegendKey val="0"/>
              <c:showVal val="1"/>
              <c:showCatName val="0"/>
              <c:showSerName val="0"/>
              <c:showPercent val="0"/>
              <c:showBubbleSize val="0"/>
            </c:dLbl>
            <c:dLbl>
              <c:idx val="1"/>
              <c:layout>
                <c:manualLayout>
                  <c:x val="5.5555555555555558E-3"/>
                  <c:y val="-1.3888888888888846E-2"/>
                </c:manualLayout>
              </c:layout>
              <c:showLegendKey val="0"/>
              <c:showVal val="1"/>
              <c:showCatName val="0"/>
              <c:showSerName val="0"/>
              <c:showPercent val="0"/>
              <c:showBubbleSize val="0"/>
            </c:dLbl>
            <c:dLbl>
              <c:idx val="2"/>
              <c:layout>
                <c:manualLayout>
                  <c:x val="1.3888888888888888E-2"/>
                  <c:y val="0"/>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Лист2!$B$60:$D$60</c:f>
              <c:numCache>
                <c:formatCode>General</c:formatCode>
                <c:ptCount val="3"/>
                <c:pt idx="0">
                  <c:v>2013</c:v>
                </c:pt>
                <c:pt idx="1">
                  <c:v>2014</c:v>
                </c:pt>
                <c:pt idx="2">
                  <c:v>2015</c:v>
                </c:pt>
              </c:numCache>
            </c:numRef>
          </c:cat>
          <c:val>
            <c:numRef>
              <c:f>Лист2!$B$68:$D$68</c:f>
              <c:numCache>
                <c:formatCode>0.0</c:formatCode>
                <c:ptCount val="3"/>
                <c:pt idx="0">
                  <c:v>4</c:v>
                </c:pt>
                <c:pt idx="1">
                  <c:v>-1</c:v>
                </c:pt>
                <c:pt idx="2">
                  <c:v>-4</c:v>
                </c:pt>
              </c:numCache>
            </c:numRef>
          </c:val>
          <c:smooth val="0"/>
        </c:ser>
        <c:dLbls>
          <c:showLegendKey val="0"/>
          <c:showVal val="0"/>
          <c:showCatName val="0"/>
          <c:showSerName val="0"/>
          <c:showPercent val="0"/>
          <c:showBubbleSize val="0"/>
        </c:dLbls>
        <c:marker val="1"/>
        <c:smooth val="0"/>
        <c:axId val="35672448"/>
        <c:axId val="35673984"/>
      </c:lineChart>
      <c:catAx>
        <c:axId val="35672448"/>
        <c:scaling>
          <c:orientation val="minMax"/>
        </c:scaling>
        <c:delete val="0"/>
        <c:axPos val="b"/>
        <c:numFmt formatCode="General" sourceLinked="1"/>
        <c:majorTickMark val="out"/>
        <c:minorTickMark val="none"/>
        <c:tickLblPos val="nextTo"/>
        <c:crossAx val="35673984"/>
        <c:crosses val="autoZero"/>
        <c:auto val="1"/>
        <c:lblAlgn val="ctr"/>
        <c:lblOffset val="500"/>
        <c:noMultiLvlLbl val="0"/>
      </c:catAx>
      <c:valAx>
        <c:axId val="35673984"/>
        <c:scaling>
          <c:orientation val="minMax"/>
        </c:scaling>
        <c:delete val="0"/>
        <c:axPos val="l"/>
        <c:numFmt formatCode="General" sourceLinked="1"/>
        <c:majorTickMark val="out"/>
        <c:minorTickMark val="none"/>
        <c:tickLblPos val="nextTo"/>
        <c:crossAx val="35672448"/>
        <c:crosses val="autoZero"/>
        <c:crossBetween val="between"/>
      </c:valAx>
    </c:plotArea>
    <c:legend>
      <c:legendPos val="r"/>
      <c:layout/>
      <c:overlay val="0"/>
    </c:legend>
    <c:plotVisOnly val="1"/>
    <c:dispBlanksAs val="gap"/>
    <c:showDLblsOverMax val="0"/>
  </c:chart>
  <c:spPr>
    <a:ln>
      <a:noFill/>
    </a:ln>
  </c:spPr>
  <c:txPr>
    <a:bodyPr/>
    <a:lstStyle/>
    <a:p>
      <a:pPr>
        <a:defRPr>
          <a:latin typeface="Georgia" panose="02040502050405020303"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tx>
        <c:rich>
          <a:bodyPr/>
          <a:lstStyle/>
          <a:p>
            <a:pPr>
              <a:defRPr sz="1150"/>
            </a:pPr>
            <a:r>
              <a:rPr lang="ru-RU" sz="1150"/>
              <a:t>Рыночная доля ПАО "ИнтехБанк" в сегменте розничного кредитования РТ</a:t>
            </a:r>
          </a:p>
        </c:rich>
      </c:tx>
      <c:layout>
        <c:manualLayout>
          <c:xMode val="edge"/>
          <c:yMode val="edge"/>
          <c:x val="0.15412813486419968"/>
          <c:y val="0"/>
        </c:manualLayout>
      </c:layout>
      <c:overlay val="0"/>
    </c:title>
    <c:autoTitleDeleted val="0"/>
    <c:plotArea>
      <c:layout>
        <c:manualLayout>
          <c:layoutTarget val="inner"/>
          <c:xMode val="edge"/>
          <c:yMode val="edge"/>
          <c:x val="0.10661490375333302"/>
          <c:y val="0.24020518182115203"/>
          <c:w val="0.86825390250974088"/>
          <c:h val="0.53814573756315343"/>
        </c:manualLayout>
      </c:layout>
      <c:barChart>
        <c:barDir val="bar"/>
        <c:grouping val="stacked"/>
        <c:varyColors val="0"/>
        <c:ser>
          <c:idx val="0"/>
          <c:order val="0"/>
          <c:tx>
            <c:strRef>
              <c:f>розн!$B$3</c:f>
              <c:strCache>
                <c:ptCount val="1"/>
                <c:pt idx="0">
                  <c:v>Розничный кредитный портфель</c:v>
                </c:pt>
              </c:strCache>
            </c:strRef>
          </c:tx>
          <c:spPr>
            <a:solidFill>
              <a:srgbClr val="00B050"/>
            </a:solidFill>
          </c:spPr>
          <c:invertIfNegative val="0"/>
          <c:dPt>
            <c:idx val="1"/>
            <c:invertIfNegative val="0"/>
            <c:bubble3D val="0"/>
            <c:spPr>
              <a:solidFill>
                <a:srgbClr val="4F81BD"/>
              </a:solidFill>
            </c:spPr>
          </c:dPt>
          <c:dPt>
            <c:idx val="2"/>
            <c:invertIfNegative val="0"/>
            <c:bubble3D val="0"/>
            <c:spPr>
              <a:solidFill>
                <a:srgbClr val="95B3D7"/>
              </a:solidFill>
            </c:spPr>
          </c:dPt>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strRef>
              <c:f>розн!$A$4:$A$6</c:f>
              <c:strCache>
                <c:ptCount val="3"/>
                <c:pt idx="0">
                  <c:v>2015</c:v>
                </c:pt>
                <c:pt idx="1">
                  <c:v>2014</c:v>
                </c:pt>
                <c:pt idx="2">
                  <c:v>2013</c:v>
                </c:pt>
              </c:strCache>
            </c:strRef>
          </c:cat>
          <c:val>
            <c:numRef>
              <c:f>розн!$B$4:$B$6</c:f>
              <c:numCache>
                <c:formatCode>0.00%</c:formatCode>
                <c:ptCount val="3"/>
                <c:pt idx="0">
                  <c:v>1.8087135592807575E-2</c:v>
                </c:pt>
                <c:pt idx="1">
                  <c:v>1.63791308222297E-2</c:v>
                </c:pt>
                <c:pt idx="2">
                  <c:v>1.3638816353326208E-2</c:v>
                </c:pt>
              </c:numCache>
            </c:numRef>
          </c:val>
        </c:ser>
        <c:ser>
          <c:idx val="1"/>
          <c:order val="1"/>
          <c:tx>
            <c:strRef>
              <c:f>розн!$C$3</c:f>
              <c:strCache>
                <c:ptCount val="1"/>
                <c:pt idx="0">
                  <c:v>Кредиты, переданные на баланс SPV компании</c:v>
                </c:pt>
              </c:strCache>
            </c:strRef>
          </c:tx>
          <c:spPr>
            <a:solidFill>
              <a:srgbClr val="29FF8A"/>
            </a:solidFill>
          </c:spPr>
          <c:invertIfNegative val="0"/>
          <c:dLbls>
            <c:dLbl>
              <c:idx val="0"/>
              <c:layout/>
              <c:dLblPos val="ctr"/>
              <c:showLegendKey val="0"/>
              <c:showVal val="1"/>
              <c:showCatName val="0"/>
              <c:showSerName val="0"/>
              <c:showPercent val="0"/>
              <c:showBubbleSize val="0"/>
            </c:dLbl>
            <c:dLbl>
              <c:idx val="1"/>
              <c:layout/>
              <c:showLegendKey val="0"/>
              <c:showVal val="1"/>
              <c:showCatName val="0"/>
              <c:showSerName val="0"/>
              <c:showPercent val="0"/>
              <c:showBubbleSize val="0"/>
            </c:dLbl>
            <c:txPr>
              <a:bodyPr/>
              <a:lstStyle/>
              <a:p>
                <a:pPr>
                  <a:defRPr b="1"/>
                </a:pPr>
                <a:endParaRPr lang="ru-RU"/>
              </a:p>
            </c:txPr>
            <c:showLegendKey val="0"/>
            <c:showVal val="0"/>
            <c:showCatName val="0"/>
            <c:showSerName val="0"/>
            <c:showPercent val="0"/>
            <c:showBubbleSize val="0"/>
          </c:dLbls>
          <c:cat>
            <c:strRef>
              <c:f>розн!$A$4:$A$6</c:f>
              <c:strCache>
                <c:ptCount val="3"/>
                <c:pt idx="0">
                  <c:v>2015</c:v>
                </c:pt>
                <c:pt idx="1">
                  <c:v>2014</c:v>
                </c:pt>
                <c:pt idx="2">
                  <c:v>2013</c:v>
                </c:pt>
              </c:strCache>
            </c:strRef>
          </c:cat>
          <c:val>
            <c:numRef>
              <c:f>розн!$C$4:$C$6</c:f>
              <c:numCache>
                <c:formatCode>0.00%</c:formatCode>
                <c:ptCount val="3"/>
                <c:pt idx="0">
                  <c:v>3.4401248118806106E-2</c:v>
                </c:pt>
                <c:pt idx="1">
                  <c:v>1.0354073199799401E-2</c:v>
                </c:pt>
                <c:pt idx="2">
                  <c:v>0</c:v>
                </c:pt>
              </c:numCache>
            </c:numRef>
          </c:val>
        </c:ser>
        <c:dLbls>
          <c:showLegendKey val="0"/>
          <c:showVal val="0"/>
          <c:showCatName val="0"/>
          <c:showSerName val="0"/>
          <c:showPercent val="0"/>
          <c:showBubbleSize val="0"/>
        </c:dLbls>
        <c:gapWidth val="75"/>
        <c:overlap val="100"/>
        <c:axId val="35729408"/>
        <c:axId val="35730944"/>
      </c:barChart>
      <c:catAx>
        <c:axId val="35729408"/>
        <c:scaling>
          <c:orientation val="minMax"/>
        </c:scaling>
        <c:delete val="0"/>
        <c:axPos val="l"/>
        <c:numFmt formatCode="@" sourceLinked="1"/>
        <c:majorTickMark val="out"/>
        <c:minorTickMark val="none"/>
        <c:tickLblPos val="nextTo"/>
        <c:spPr>
          <a:ln>
            <a:noFill/>
          </a:ln>
        </c:spPr>
        <c:txPr>
          <a:bodyPr/>
          <a:lstStyle/>
          <a:p>
            <a:pPr>
              <a:defRPr b="1"/>
            </a:pPr>
            <a:endParaRPr lang="ru-RU"/>
          </a:p>
        </c:txPr>
        <c:crossAx val="35730944"/>
        <c:crosses val="autoZero"/>
        <c:auto val="0"/>
        <c:lblAlgn val="ctr"/>
        <c:lblOffset val="100"/>
        <c:noMultiLvlLbl val="0"/>
      </c:catAx>
      <c:valAx>
        <c:axId val="35730944"/>
        <c:scaling>
          <c:orientation val="minMax"/>
        </c:scaling>
        <c:delete val="1"/>
        <c:axPos val="b"/>
        <c:numFmt formatCode="0.00%" sourceLinked="1"/>
        <c:majorTickMark val="out"/>
        <c:minorTickMark val="none"/>
        <c:tickLblPos val="none"/>
        <c:crossAx val="35729408"/>
        <c:crosses val="autoZero"/>
        <c:crossBetween val="between"/>
      </c:valAx>
    </c:plotArea>
    <c:legend>
      <c:legendPos val="b"/>
      <c:layout>
        <c:manualLayout>
          <c:xMode val="edge"/>
          <c:yMode val="edge"/>
          <c:x val="9.560974481714014E-3"/>
          <c:y val="0.82279307572102622"/>
          <c:w val="0.9867517661613886"/>
          <c:h val="0.17720692427897383"/>
        </c:manualLayout>
      </c:layout>
      <c:overlay val="0"/>
    </c:legend>
    <c:plotVisOnly val="1"/>
    <c:dispBlanksAs val="gap"/>
    <c:showDLblsOverMax val="0"/>
  </c:chart>
  <c:spPr>
    <a:ln>
      <a:noFill/>
    </a:ln>
  </c:spPr>
  <c:txPr>
    <a:bodyPr/>
    <a:lstStyle/>
    <a:p>
      <a:pPr>
        <a:defRPr>
          <a:latin typeface="Georgia" pitchFamily="18" charset="0"/>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0.12568</cdr:x>
      <cdr:y>0.20202</cdr:y>
    </cdr:from>
    <cdr:to>
      <cdr:x>0.23952</cdr:x>
      <cdr:y>0.29032</cdr:y>
    </cdr:to>
    <cdr:sp macro="" textlink="">
      <cdr:nvSpPr>
        <cdr:cNvPr id="2" name="Поле 1"/>
        <cdr:cNvSpPr txBox="1"/>
      </cdr:nvSpPr>
      <cdr:spPr>
        <a:xfrm xmlns:a="http://schemas.openxmlformats.org/drawingml/2006/main">
          <a:off x="746585" y="566625"/>
          <a:ext cx="676258" cy="247663"/>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6118</a:t>
          </a:r>
        </a:p>
      </cdr:txBody>
    </cdr:sp>
  </cdr:relSizeAnchor>
  <cdr:relSizeAnchor xmlns:cdr="http://schemas.openxmlformats.org/drawingml/2006/chartDrawing">
    <cdr:from>
      <cdr:x>0.44049</cdr:x>
      <cdr:y>0</cdr:y>
    </cdr:from>
    <cdr:to>
      <cdr:x>0.55433</cdr:x>
      <cdr:y>0.0883</cdr:y>
    </cdr:to>
    <cdr:sp macro="" textlink="">
      <cdr:nvSpPr>
        <cdr:cNvPr id="3" name="Поле 1"/>
        <cdr:cNvSpPr txBox="1"/>
      </cdr:nvSpPr>
      <cdr:spPr>
        <a:xfrm xmlns:a="http://schemas.openxmlformats.org/drawingml/2006/main">
          <a:off x="2616690" y="0"/>
          <a:ext cx="676258" cy="247663"/>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10 435</a:t>
          </a:r>
        </a:p>
      </cdr:txBody>
    </cdr:sp>
  </cdr:relSizeAnchor>
  <cdr:relSizeAnchor xmlns:cdr="http://schemas.openxmlformats.org/drawingml/2006/chartDrawing">
    <cdr:from>
      <cdr:x>0.75735</cdr:x>
      <cdr:y>0</cdr:y>
    </cdr:from>
    <cdr:to>
      <cdr:x>0.87119</cdr:x>
      <cdr:y>0.0883</cdr:y>
    </cdr:to>
    <cdr:sp macro="" textlink="">
      <cdr:nvSpPr>
        <cdr:cNvPr id="4" name="Поле 1"/>
        <cdr:cNvSpPr txBox="1"/>
      </cdr:nvSpPr>
      <cdr:spPr>
        <a:xfrm xmlns:a="http://schemas.openxmlformats.org/drawingml/2006/main">
          <a:off x="4498981" y="0"/>
          <a:ext cx="676258" cy="247664"/>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9 756</a:t>
          </a:r>
        </a:p>
      </cdr:txBody>
    </cdr:sp>
  </cdr:relSizeAnchor>
</c:userShapes>
</file>

<file path=word/drawings/drawing2.xml><?xml version="1.0" encoding="utf-8"?>
<c:userShapes xmlns:c="http://schemas.openxmlformats.org/drawingml/2006/chart">
  <cdr:relSizeAnchor xmlns:cdr="http://schemas.openxmlformats.org/drawingml/2006/chartDrawing">
    <cdr:from>
      <cdr:x>0.12329</cdr:x>
      <cdr:y>0.30466</cdr:y>
    </cdr:from>
    <cdr:to>
      <cdr:x>0.24486</cdr:x>
      <cdr:y>0.37354</cdr:y>
    </cdr:to>
    <cdr:sp macro="" textlink="">
      <cdr:nvSpPr>
        <cdr:cNvPr id="2" name="Поле 1"/>
        <cdr:cNvSpPr txBox="1"/>
      </cdr:nvSpPr>
      <cdr:spPr>
        <a:xfrm xmlns:a="http://schemas.openxmlformats.org/drawingml/2006/main">
          <a:off x="685800" y="1095375"/>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vertOverflow="clip" wrap="square" rtlCol="0"/>
        <a:lstStyle xmlns:a="http://schemas.openxmlformats.org/drawingml/2006/main"/>
        <a:p xmlns:a="http://schemas.openxmlformats.org/drawingml/2006/main">
          <a:pPr algn="ctr"/>
          <a:r>
            <a:rPr lang="en-US" sz="1100" b="1">
              <a:latin typeface="Georgia" panose="02040502050405020303" pitchFamily="18" charset="0"/>
            </a:rPr>
            <a:t>2 157</a:t>
          </a:r>
          <a:endParaRPr lang="ru-RU" sz="1100" b="1">
            <a:latin typeface="Georgia" panose="02040502050405020303" pitchFamily="18" charset="0"/>
          </a:endParaRPr>
        </a:p>
      </cdr:txBody>
    </cdr:sp>
  </cdr:relSizeAnchor>
  <cdr:relSizeAnchor xmlns:cdr="http://schemas.openxmlformats.org/drawingml/2006/chartDrawing">
    <cdr:from>
      <cdr:x>0.44064</cdr:x>
      <cdr:y>0.23402</cdr:y>
    </cdr:from>
    <cdr:to>
      <cdr:x>0.56221</cdr:x>
      <cdr:y>0.3029</cdr:y>
    </cdr:to>
    <cdr:sp macro="" textlink="">
      <cdr:nvSpPr>
        <cdr:cNvPr id="4" name="Поле 1"/>
        <cdr:cNvSpPr txBox="1"/>
      </cdr:nvSpPr>
      <cdr:spPr>
        <a:xfrm xmlns:a="http://schemas.openxmlformats.org/drawingml/2006/main">
          <a:off x="2451100" y="841375"/>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en-US" b="1">
              <a:latin typeface="Georgia" panose="02040502050405020303" pitchFamily="18" charset="0"/>
            </a:rPr>
            <a:t>2 619</a:t>
          </a:r>
          <a:endParaRPr lang="ru-RU" b="1">
            <a:latin typeface="Georgia" panose="02040502050405020303" pitchFamily="18" charset="0"/>
          </a:endParaRPr>
        </a:p>
      </cdr:txBody>
    </cdr:sp>
  </cdr:relSizeAnchor>
  <cdr:relSizeAnchor xmlns:cdr="http://schemas.openxmlformats.org/drawingml/2006/chartDrawing">
    <cdr:from>
      <cdr:x>0.75114</cdr:x>
      <cdr:y>0</cdr:y>
    </cdr:from>
    <cdr:to>
      <cdr:x>0.87272</cdr:x>
      <cdr:y>0.06888</cdr:y>
    </cdr:to>
    <cdr:sp macro="" textlink="">
      <cdr:nvSpPr>
        <cdr:cNvPr id="5" name="Поле 1"/>
        <cdr:cNvSpPr txBox="1"/>
      </cdr:nvSpPr>
      <cdr:spPr>
        <a:xfrm xmlns:a="http://schemas.openxmlformats.org/drawingml/2006/main">
          <a:off x="4178300" y="-4495800"/>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en-US" b="1">
              <a:latin typeface="Georgia" panose="02040502050405020303" pitchFamily="18" charset="0"/>
            </a:rPr>
            <a:t>4 258</a:t>
          </a:r>
          <a:endParaRPr lang="ru-RU" b="1">
            <a:latin typeface="Georgia" panose="02040502050405020303"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0.12054</cdr:x>
      <cdr:y>0.43315</cdr:y>
    </cdr:from>
    <cdr:to>
      <cdr:x>0.25154</cdr:x>
      <cdr:y>0.50295</cdr:y>
    </cdr:to>
    <cdr:sp macro="" textlink="">
      <cdr:nvSpPr>
        <cdr:cNvPr id="2" name="Поле 1"/>
        <cdr:cNvSpPr txBox="1"/>
      </cdr:nvSpPr>
      <cdr:spPr>
        <a:xfrm xmlns:a="http://schemas.openxmlformats.org/drawingml/2006/main">
          <a:off x="622300" y="1536700"/>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1 993</a:t>
          </a:r>
        </a:p>
      </cdr:txBody>
    </cdr:sp>
  </cdr:relSizeAnchor>
  <cdr:relSizeAnchor xmlns:cdr="http://schemas.openxmlformats.org/drawingml/2006/chartDrawing">
    <cdr:from>
      <cdr:x>0.43604</cdr:x>
      <cdr:y>0.36334</cdr:y>
    </cdr:from>
    <cdr:to>
      <cdr:x>0.56704</cdr:x>
      <cdr:y>0.43315</cdr:y>
    </cdr:to>
    <cdr:sp macro="" textlink="">
      <cdr:nvSpPr>
        <cdr:cNvPr id="3" name="Поле 1"/>
        <cdr:cNvSpPr txBox="1"/>
      </cdr:nvSpPr>
      <cdr:spPr>
        <a:xfrm xmlns:a="http://schemas.openxmlformats.org/drawingml/2006/main">
          <a:off x="2251075" y="1289050"/>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2 410</a:t>
          </a:r>
        </a:p>
      </cdr:txBody>
    </cdr:sp>
  </cdr:relSizeAnchor>
  <cdr:relSizeAnchor xmlns:cdr="http://schemas.openxmlformats.org/drawingml/2006/chartDrawing">
    <cdr:from>
      <cdr:x>0.74785</cdr:x>
      <cdr:y>0.06533</cdr:y>
    </cdr:from>
    <cdr:to>
      <cdr:x>0.87884</cdr:x>
      <cdr:y>0.13514</cdr:y>
    </cdr:to>
    <cdr:sp macro="" textlink="">
      <cdr:nvSpPr>
        <cdr:cNvPr id="4" name="Поле 1"/>
        <cdr:cNvSpPr txBox="1"/>
      </cdr:nvSpPr>
      <cdr:spPr>
        <a:xfrm xmlns:a="http://schemas.openxmlformats.org/drawingml/2006/main">
          <a:off x="3860800" y="231775"/>
          <a:ext cx="676275" cy="247650"/>
        </a:xfrm>
        <a:prstGeom xmlns:a="http://schemas.openxmlformats.org/drawingml/2006/main" prst="rect">
          <a:avLst/>
        </a:prstGeom>
      </cdr:spPr>
      <cdr:style>
        <a:lnRef xmlns:a="http://schemas.openxmlformats.org/drawingml/2006/main" idx="1">
          <a:schemeClr val="accent1"/>
        </a:lnRef>
        <a:fillRef xmlns:a="http://schemas.openxmlformats.org/drawingml/2006/main" idx="2">
          <a:schemeClr val="accent1"/>
        </a:fillRef>
        <a:effectRef xmlns:a="http://schemas.openxmlformats.org/drawingml/2006/main" idx="1">
          <a:schemeClr val="accent1"/>
        </a:effectRef>
        <a:fontRef xmlns:a="http://schemas.openxmlformats.org/drawingml/2006/main" idx="minor">
          <a:schemeClr val="dk1"/>
        </a:fontRef>
      </cdr:style>
      <cdr:txBody>
        <a:bodyPr xmlns:a="http://schemas.openxmlformats.org/drawingml/2006/main" wrap="square" rtlCol="0"/>
        <a:lstStyle xmlns:a="http://schemas.openxmlformats.org/drawingml/2006/main"/>
        <a:p xmlns:a="http://schemas.openxmlformats.org/drawingml/2006/main">
          <a:pPr algn="ctr"/>
          <a:r>
            <a:rPr lang="ru-RU" b="1">
              <a:latin typeface="Georgia" panose="02040502050405020303" pitchFamily="18" charset="0"/>
            </a:rPr>
            <a:t>4 894</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670FB-C4F0-454F-9837-E820AF82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80</Pages>
  <Words>20257</Words>
  <Characters>115471</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qq</Company>
  <LinksUpToDate>false</LinksUpToDate>
  <CharactersWithSpaces>135458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gdaryakina</dc:creator>
  <cp:keywords/>
  <dc:description/>
  <cp:lastModifiedBy>Мухаметшина Наталья Александровна</cp:lastModifiedBy>
  <cp:revision>76</cp:revision>
  <cp:lastPrinted>2016-04-13T13:11:00Z</cp:lastPrinted>
  <dcterms:created xsi:type="dcterms:W3CDTF">2015-05-06T08:23:00Z</dcterms:created>
  <dcterms:modified xsi:type="dcterms:W3CDTF">2016-05-27T12:26:00Z</dcterms:modified>
</cp:coreProperties>
</file>